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40"/>
        </w:rPr>
        <w:t>制药行业包 · DEMO-01成本分析报告</w:t>
      </w:r>
    </w:p>
    <w:p>
      <w:pPr>
        <w:keepNext w:val="0"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合成演示：全部企业、工单/批次、数字和知识均独立编制；不是赛题原件或行业基准。</w:t>
      </w:r>
    </w:p>
    <w:p>
      <w:pPr>
        <w:pStyle w:val="Heading1"/>
        <w:keepNext/>
        <w:keepLines/>
        <w:pageBreakBefore w:val="0"/>
        <w:widowControl/>
        <w:spacing w:line="276" w:lineRule="auto" w:before="200" w:after="100"/>
        <w:jc w:val="left"/>
        <w:wordWrap w:val="0"/>
      </w:pPr>
      <w:r>
        <w:rPr>
          <w:rFonts w:ascii="Noto Sans SC" w:hAnsi="Noto Sans SC" w:eastAsia="Noto Sans SC"/>
          <w:b/>
          <w:color w:val="143D50"/>
          <w:sz w:val="28"/>
        </w:rPr>
        <w:t>一、基本信息</w:t>
      </w:r>
    </w:p>
    <w:p>
      <w:pPr>
        <w:keepNext w:val="0"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示范工厂A · 2026-06</w:t>
      </w:r>
    </w:p>
    <w:p>
      <w:pPr>
        <w:keepNext w:val="0"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规格：1﻿0﻿支﻿/﻿盒；币种：CNY；口径：完工产出。</w:t>
      </w:r>
    </w:p>
    <w:p>
      <w:pPr>
        <w:pStyle w:val="Heading1"/>
        <w:keepNext/>
        <w:keepLines/>
        <w:pageBreakBefore w:val="0"/>
        <w:widowControl/>
        <w:spacing w:line="276" w:lineRule="auto" w:before="200" w:after="100"/>
        <w:jc w:val="left"/>
        <w:wordWrap w:val="0"/>
      </w:pPr>
      <w:r>
        <w:rPr>
          <w:rFonts w:ascii="Noto Sans SC" w:hAnsi="Noto Sans SC" w:eastAsia="Noto Sans SC"/>
          <w:b/>
          <w:color w:val="143D50"/>
          <w:sz w:val="28"/>
        </w:rPr>
        <w:t>二、总成本概览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4904"/>
        <w:gridCol w:w="4904"/>
      </w:tblGrid>
      <w:tr>
        <w:trPr>
          <w:cantSplit/>
          <w:tblHeader/>
        </w:trPr>
        <w:tc>
          <w:tcPr>
            <w:tcW w:type="dxa" w:w="4904"/>
            <w:shd w:fill="EAF2F5"/>
          </w:tcPr>
          <w:p>
            <w:pPr>
              <w:keepNext w:val="0"/>
              <w:keepLines/>
              <w:pageBreakBefore w:val="0"/>
              <w:widowControl/>
              <w:spacing w:line="259" w:lineRule="auto" w:before="0" w:after="60"/>
              <w:jc w:val="left"/>
              <w:wordWrap w:val="0"/>
            </w:pPr>
            <w:r>
              <w:rPr>
                <w:rFonts w:ascii="Noto Sans SC" w:hAnsi="Noto Sans SC" w:eastAsia="Noto Sans SC"/>
                <w:b/>
                <w:color w:val="202D33"/>
                <w:sz w:val="18"/>
              </w:rPr>
              <w:t>指标</w:t>
            </w:r>
          </w:p>
        </w:tc>
        <w:tc>
          <w:tcPr>
            <w:tcW w:type="dxa" w:w="4904"/>
            <w:shd w:fill="EAF2F5"/>
          </w:tcPr>
          <w:p>
            <w:pPr>
              <w:keepNext w:val="0"/>
              <w:keepLines/>
              <w:pageBreakBefore w:val="0"/>
              <w:widowControl/>
              <w:spacing w:line="259" w:lineRule="auto" w:before="0" w:after="60"/>
              <w:jc w:val="left"/>
              <w:wordWrap w:val="0"/>
            </w:pPr>
            <w:r>
              <w:rPr>
                <w:rFonts w:ascii="Noto Sans SC" w:hAnsi="Noto Sans SC" w:eastAsia="Noto Sans SC"/>
                <w:b/>
                <w:color w:val="202D33"/>
                <w:sz w:val="18"/>
              </w:rPr>
              <w:t>确定性结果</w:t>
            </w:r>
          </w:p>
        </w:tc>
      </w:tr>
      <w:tr>
        <w:trPr>
          <w:cantSplit/>
        </w:trPr>
        <w:tc>
          <w:tcPr>
            <w:tcW w:type="dxa" w:w="4904"/>
          </w:tcPr>
          <w:p>
            <w:pPr>
              <w:keepNext w:val="0"/>
              <w:keepLines/>
              <w:pageBreakBefore w:val="0"/>
              <w:widowControl/>
              <w:spacing w:line="259" w:lineRule="auto" w:before="0" w:after="60"/>
              <w:jc w:val="left"/>
              <w:wordWrap w:val="0"/>
            </w:pPr>
            <w:r>
              <w:rPr>
                <w:rFonts w:ascii="Noto Sans SC" w:hAnsi="Noto Sans SC" w:eastAsia="Noto Sans SC"/>
                <w:b w:val="0"/>
                <w:color w:val="202D33"/>
                <w:sz w:val="18"/>
              </w:rPr>
              <w:t>总成本</w:t>
            </w:r>
          </w:p>
        </w:tc>
        <w:tc>
          <w:tcPr>
            <w:tcW w:type="dxa" w:w="4904"/>
          </w:tcPr>
          <w:p>
            <w:pPr>
              <w:keepNext w:val="0"/>
              <w:keepLines/>
              <w:pageBreakBefore w:val="0"/>
              <w:widowControl/>
              <w:spacing w:line="259" w:lineRule="auto" w:before="0" w:after="60"/>
              <w:jc w:val="left"/>
              <w:wordWrap w:val="0"/>
            </w:pPr>
            <w:r>
              <w:rPr>
                <w:rFonts w:ascii="Noto Sans SC" w:hAnsi="Noto Sans SC" w:eastAsia="Noto Sans SC"/>
                <w:b w:val="0"/>
                <w:color w:val="202D33"/>
                <w:sz w:val="18"/>
              </w:rPr>
              <w:t>1﻿3﻿5﻿0﻿.﻿0﻿0﻿ ﻿元</w:t>
            </w:r>
          </w:p>
        </w:tc>
      </w:tr>
      <w:tr>
        <w:trPr>
          <w:cantSplit/>
        </w:trPr>
        <w:tc>
          <w:tcPr>
            <w:tcW w:type="dxa" w:w="4904"/>
          </w:tcPr>
          <w:p>
            <w:pPr>
              <w:keepNext w:val="0"/>
              <w:keepLines/>
              <w:pageBreakBefore w:val="0"/>
              <w:widowControl/>
              <w:spacing w:line="259" w:lineRule="auto" w:before="0" w:after="60"/>
              <w:jc w:val="left"/>
              <w:wordWrap w:val="0"/>
            </w:pPr>
            <w:r>
              <w:rPr>
                <w:rFonts w:ascii="Noto Sans SC" w:hAnsi="Noto Sans SC" w:eastAsia="Noto Sans SC"/>
                <w:b w:val="0"/>
                <w:color w:val="202D33"/>
                <w:sz w:val="18"/>
              </w:rPr>
              <w:t>合格产出</w:t>
            </w:r>
          </w:p>
        </w:tc>
        <w:tc>
          <w:tcPr>
            <w:tcW w:type="dxa" w:w="4904"/>
          </w:tcPr>
          <w:p>
            <w:pPr>
              <w:keepNext w:val="0"/>
              <w:keepLines/>
              <w:pageBreakBefore w:val="0"/>
              <w:widowControl/>
              <w:spacing w:line="259" w:lineRule="auto" w:before="0" w:after="60"/>
              <w:jc w:val="left"/>
              <w:wordWrap w:val="0"/>
            </w:pPr>
            <w:r>
              <w:rPr>
                <w:rFonts w:ascii="Noto Sans SC" w:hAnsi="Noto Sans SC" w:eastAsia="Noto Sans SC"/>
                <w:b w:val="0"/>
                <w:color w:val="202D33"/>
                <w:sz w:val="18"/>
              </w:rPr>
              <w:t>1﻿5﻿0﻿.﻿0﻿0﻿ ﻿盒</w:t>
            </w:r>
          </w:p>
        </w:tc>
      </w:tr>
      <w:tr>
        <w:trPr>
          <w:cantSplit/>
        </w:trPr>
        <w:tc>
          <w:tcPr>
            <w:tcW w:type="dxa" w:w="4904"/>
          </w:tcPr>
          <w:p>
            <w:pPr>
              <w:keepNext w:val="0"/>
              <w:keepLines/>
              <w:pageBreakBefore w:val="0"/>
              <w:widowControl/>
              <w:spacing w:line="259" w:lineRule="auto" w:before="0" w:after="60"/>
              <w:jc w:val="left"/>
              <w:wordWrap w:val="0"/>
            </w:pPr>
            <w:r>
              <w:rPr>
                <w:rFonts w:ascii="Noto Sans SC" w:hAnsi="Noto Sans SC" w:eastAsia="Noto Sans SC"/>
                <w:b w:val="0"/>
                <w:color w:val="202D33"/>
                <w:sz w:val="18"/>
              </w:rPr>
              <w:t>单位成本</w:t>
            </w:r>
          </w:p>
        </w:tc>
        <w:tc>
          <w:tcPr>
            <w:tcW w:type="dxa" w:w="4904"/>
          </w:tcPr>
          <w:p>
            <w:pPr>
              <w:keepNext w:val="0"/>
              <w:keepLines/>
              <w:pageBreakBefore w:val="0"/>
              <w:widowControl/>
              <w:spacing w:line="259" w:lineRule="auto" w:before="0" w:after="60"/>
              <w:jc w:val="left"/>
              <w:wordWrap w:val="0"/>
            </w:pPr>
            <w:r>
              <w:rPr>
                <w:rFonts w:ascii="Noto Sans SC" w:hAnsi="Noto Sans SC" w:eastAsia="Noto Sans SC"/>
                <w:b w:val="0"/>
                <w:color w:val="202D33"/>
                <w:sz w:val="18"/>
              </w:rPr>
              <w:t>9﻿.﻿0﻿0﻿ ﻿元﻿/﻿盒</w:t>
            </w:r>
          </w:p>
        </w:tc>
      </w:tr>
    </w:tbl>
    <w:p>
      <w:pPr>
        <w:keepNext w:val="0"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环比：1﻿2﻿.﻿5﻿0﻿ ﻿%</w:t>
      </w:r>
    </w:p>
    <w:p>
      <w:pPr>
        <w:keepNext w:val="0"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同比：N/A（无可用基期或明细）；缺少完整基期或分母为零</w:t>
      </w:r>
    </w:p>
    <w:p>
      <w:pPr>
        <w:keepNext w:val="0"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预算差异：1﻿1﻿.﻿1﻿1﻿ ﻿%</w:t>
      </w:r>
    </w:p>
    <w:p>
      <w:pPr>
        <w:keepNext w:val="0"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季度采用期间成本总和除以独立产量总和；缺失基期或零分母保持无定义。</w:t>
      </w:r>
    </w:p>
    <w:p>
      <w:pPr>
        <w:pStyle w:val="Heading1"/>
        <w:keepNext/>
        <w:keepLines/>
        <w:pageBreakBefore w:val="0"/>
        <w:widowControl/>
        <w:spacing w:line="276" w:lineRule="auto" w:before="200" w:after="100"/>
        <w:jc w:val="left"/>
        <w:wordWrap w:val="0"/>
      </w:pPr>
      <w:r>
        <w:rPr>
          <w:rFonts w:ascii="Noto Sans SC" w:hAnsi="Noto Sans SC" w:eastAsia="Noto Sans SC"/>
          <w:b/>
          <w:color w:val="143D50"/>
          <w:sz w:val="28"/>
        </w:rPr>
        <w:t>三、成本要素结构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cantSplit/>
          <w:tblHeader/>
        </w:trPr>
        <w:tc>
          <w:tcPr>
            <w:tcW w:type="dxa" w:w="2452"/>
            <w:shd w:fill="EAF2F5"/>
          </w:tcPr>
          <w:p>
            <w:pPr>
              <w:keepNext w:val="0"/>
              <w:keepLines/>
              <w:pageBreakBefore w:val="0"/>
              <w:widowControl/>
              <w:spacing w:line="259" w:lineRule="auto" w:before="0" w:after="60"/>
              <w:jc w:val="left"/>
              <w:wordWrap w:val="0"/>
            </w:pPr>
            <w:r>
              <w:rPr>
                <w:rFonts w:ascii="Noto Sans SC" w:hAnsi="Noto Sans SC" w:eastAsia="Noto Sans SC"/>
                <w:b/>
                <w:color w:val="202D33"/>
                <w:sz w:val="18"/>
              </w:rPr>
              <w:t>要素</w:t>
            </w:r>
          </w:p>
        </w:tc>
        <w:tc>
          <w:tcPr>
            <w:tcW w:type="dxa" w:w="2452"/>
            <w:shd w:fill="EAF2F5"/>
          </w:tcPr>
          <w:p>
            <w:pPr>
              <w:keepNext w:val="0"/>
              <w:keepLines/>
              <w:pageBreakBefore w:val="0"/>
              <w:widowControl/>
              <w:spacing w:line="259" w:lineRule="auto" w:before="0" w:after="60"/>
              <w:jc w:val="left"/>
              <w:wordWrap w:val="0"/>
            </w:pPr>
            <w:r>
              <w:rPr>
                <w:rFonts w:ascii="Noto Sans SC" w:hAnsi="Noto Sans SC" w:eastAsia="Noto Sans SC"/>
                <w:b/>
                <w:color w:val="202D33"/>
                <w:sz w:val="18"/>
              </w:rPr>
              <w:t>总成本</w:t>
            </w:r>
          </w:p>
        </w:tc>
        <w:tc>
          <w:tcPr>
            <w:tcW w:type="dxa" w:w="2452"/>
            <w:shd w:fill="EAF2F5"/>
          </w:tcPr>
          <w:p>
            <w:pPr>
              <w:keepNext w:val="0"/>
              <w:keepLines/>
              <w:pageBreakBefore w:val="0"/>
              <w:widowControl/>
              <w:spacing w:line="259" w:lineRule="auto" w:before="0" w:after="60"/>
              <w:jc w:val="left"/>
              <w:wordWrap w:val="0"/>
            </w:pPr>
            <w:r>
              <w:rPr>
                <w:rFonts w:ascii="Noto Sans SC" w:hAnsi="Noto Sans SC" w:eastAsia="Noto Sans SC"/>
                <w:b/>
                <w:color w:val="202D33"/>
                <w:sz w:val="18"/>
              </w:rPr>
              <w:t>单位成本</w:t>
            </w:r>
          </w:p>
        </w:tc>
        <w:tc>
          <w:tcPr>
            <w:tcW w:type="dxa" w:w="2452"/>
            <w:shd w:fill="EAF2F5"/>
          </w:tcPr>
          <w:p>
            <w:pPr>
              <w:keepNext w:val="0"/>
              <w:keepLines/>
              <w:pageBreakBefore w:val="0"/>
              <w:widowControl/>
              <w:spacing w:line="259" w:lineRule="auto" w:before="0" w:after="60"/>
              <w:jc w:val="left"/>
              <w:wordWrap w:val="0"/>
            </w:pPr>
            <w:r>
              <w:rPr>
                <w:rFonts w:ascii="Noto Sans SC" w:hAnsi="Noto Sans SC" w:eastAsia="Noto Sans SC"/>
                <w:b/>
                <w:color w:val="202D33"/>
                <w:sz w:val="18"/>
              </w:rPr>
              <w:t>单位环比（%）</w:t>
            </w:r>
          </w:p>
        </w:tc>
      </w:tr>
      <w:tr>
        <w:trPr>
          <w:cantSplit/>
        </w:trPr>
        <w:tc>
          <w:tcPr>
            <w:tcW w:type="dxa" w:w="2452"/>
          </w:tcPr>
          <w:p>
            <w:pPr>
              <w:keepNext w:val="0"/>
              <w:keepLines/>
              <w:pageBreakBefore w:val="0"/>
              <w:widowControl/>
              <w:spacing w:line="259" w:lineRule="auto" w:before="0" w:after="60"/>
              <w:jc w:val="left"/>
              <w:wordWrap w:val="0"/>
            </w:pPr>
            <w:r>
              <w:rPr>
                <w:rFonts w:ascii="Noto Sans SC" w:hAnsi="Noto Sans SC" w:eastAsia="Noto Sans SC"/>
                <w:b w:val="0"/>
                <w:color w:val="202D33"/>
                <w:sz w:val="18"/>
              </w:rPr>
              <w:t>材料</w:t>
            </w:r>
          </w:p>
        </w:tc>
        <w:tc>
          <w:tcPr>
            <w:tcW w:type="dxa" w:w="2452"/>
          </w:tcPr>
          <w:p>
            <w:pPr>
              <w:keepNext w:val="0"/>
              <w:keepLines/>
              <w:pageBreakBefore w:val="0"/>
              <w:widowControl/>
              <w:spacing w:line="259" w:lineRule="auto" w:before="0" w:after="60"/>
              <w:jc w:val="left"/>
              <w:wordWrap w:val="0"/>
            </w:pPr>
            <w:r>
              <w:rPr>
                <w:rFonts w:ascii="Noto Sans SC" w:hAnsi="Noto Sans SC" w:eastAsia="Noto Sans SC"/>
                <w:b w:val="0"/>
                <w:color w:val="202D33"/>
                <w:sz w:val="18"/>
              </w:rPr>
              <w:t>750.00</w:t>
            </w:r>
          </w:p>
        </w:tc>
        <w:tc>
          <w:tcPr>
            <w:tcW w:type="dxa" w:w="2452"/>
          </w:tcPr>
          <w:p>
            <w:pPr>
              <w:keepNext w:val="0"/>
              <w:keepLines/>
              <w:pageBreakBefore w:val="0"/>
              <w:widowControl/>
              <w:spacing w:line="259" w:lineRule="auto" w:before="0" w:after="60"/>
              <w:jc w:val="left"/>
              <w:wordWrap w:val="0"/>
            </w:pPr>
            <w:r>
              <w:rPr>
                <w:rFonts w:ascii="Noto Sans SC" w:hAnsi="Noto Sans SC" w:eastAsia="Noto Sans SC"/>
                <w:b w:val="0"/>
                <w:color w:val="202D33"/>
                <w:sz w:val="18"/>
              </w:rPr>
              <w:t>5.00</w:t>
            </w:r>
          </w:p>
        </w:tc>
        <w:tc>
          <w:tcPr>
            <w:tcW w:type="dxa" w:w="2452"/>
          </w:tcPr>
          <w:p>
            <w:pPr>
              <w:keepNext w:val="0"/>
              <w:keepLines/>
              <w:pageBreakBefore w:val="0"/>
              <w:widowControl/>
              <w:spacing w:line="259" w:lineRule="auto" w:before="0" w:after="60"/>
              <w:jc w:val="left"/>
              <w:wordWrap w:val="0"/>
            </w:pPr>
            <w:r>
              <w:rPr>
                <w:rFonts w:ascii="Noto Sans SC" w:hAnsi="Noto Sans SC" w:eastAsia="Noto Sans SC"/>
                <w:b w:val="0"/>
                <w:color w:val="202D33"/>
                <w:sz w:val="18"/>
              </w:rPr>
              <w:t>16.67</w:t>
            </w:r>
          </w:p>
        </w:tc>
      </w:tr>
      <w:tr>
        <w:trPr>
          <w:cantSplit/>
        </w:trPr>
        <w:tc>
          <w:tcPr>
            <w:tcW w:type="dxa" w:w="2452"/>
          </w:tcPr>
          <w:p>
            <w:pPr>
              <w:keepNext w:val="0"/>
              <w:keepLines/>
              <w:pageBreakBefore w:val="0"/>
              <w:widowControl/>
              <w:spacing w:line="259" w:lineRule="auto" w:before="0" w:after="60"/>
              <w:jc w:val="left"/>
              <w:wordWrap w:val="0"/>
            </w:pPr>
            <w:r>
              <w:rPr>
                <w:rFonts w:ascii="Noto Sans SC" w:hAnsi="Noto Sans SC" w:eastAsia="Noto Sans SC"/>
                <w:b w:val="0"/>
                <w:color w:val="202D33"/>
                <w:sz w:val="18"/>
              </w:rPr>
              <w:t>人工</w:t>
            </w:r>
          </w:p>
        </w:tc>
        <w:tc>
          <w:tcPr>
            <w:tcW w:type="dxa" w:w="2452"/>
          </w:tcPr>
          <w:p>
            <w:pPr>
              <w:keepNext w:val="0"/>
              <w:keepLines/>
              <w:pageBreakBefore w:val="0"/>
              <w:widowControl/>
              <w:spacing w:line="259" w:lineRule="auto" w:before="0" w:after="60"/>
              <w:jc w:val="left"/>
              <w:wordWrap w:val="0"/>
            </w:pPr>
            <w:r>
              <w:rPr>
                <w:rFonts w:ascii="Noto Sans SC" w:hAnsi="Noto Sans SC" w:eastAsia="Noto Sans SC"/>
                <w:b w:val="0"/>
                <w:color w:val="202D33"/>
                <w:sz w:val="18"/>
              </w:rPr>
              <w:t>300.00</w:t>
            </w:r>
          </w:p>
        </w:tc>
        <w:tc>
          <w:tcPr>
            <w:tcW w:type="dxa" w:w="2452"/>
          </w:tcPr>
          <w:p>
            <w:pPr>
              <w:keepNext w:val="0"/>
              <w:keepLines/>
              <w:pageBreakBefore w:val="0"/>
              <w:widowControl/>
              <w:spacing w:line="259" w:lineRule="auto" w:before="0" w:after="60"/>
              <w:jc w:val="left"/>
              <w:wordWrap w:val="0"/>
            </w:pPr>
            <w:r>
              <w:rPr>
                <w:rFonts w:ascii="Noto Sans SC" w:hAnsi="Noto Sans SC" w:eastAsia="Noto Sans SC"/>
                <w:b w:val="0"/>
                <w:color w:val="202D33"/>
                <w:sz w:val="18"/>
              </w:rPr>
              <w:t>2.00</w:t>
            </w:r>
          </w:p>
        </w:tc>
        <w:tc>
          <w:tcPr>
            <w:tcW w:type="dxa" w:w="2452"/>
          </w:tcPr>
          <w:p>
            <w:pPr>
              <w:keepNext w:val="0"/>
              <w:keepLines/>
              <w:pageBreakBefore w:val="0"/>
              <w:widowControl/>
              <w:spacing w:line="259" w:lineRule="auto" w:before="0" w:after="60"/>
              <w:jc w:val="left"/>
              <w:wordWrap w:val="0"/>
            </w:pPr>
            <w:r>
              <w:rPr>
                <w:rFonts w:ascii="Noto Sans SC" w:hAnsi="Noto Sans SC" w:eastAsia="Noto Sans SC"/>
                <w:b w:val="0"/>
                <w:color w:val="202D33"/>
                <w:sz w:val="18"/>
              </w:rPr>
              <w:t>0.00</w:t>
            </w:r>
          </w:p>
        </w:tc>
      </w:tr>
      <w:tr>
        <w:trPr>
          <w:cantSplit/>
        </w:trPr>
        <w:tc>
          <w:tcPr>
            <w:tcW w:type="dxa" w:w="2452"/>
          </w:tcPr>
          <w:p>
            <w:pPr>
              <w:keepNext w:val="0"/>
              <w:keepLines/>
              <w:pageBreakBefore w:val="0"/>
              <w:widowControl/>
              <w:spacing w:line="259" w:lineRule="auto" w:before="0" w:after="60"/>
              <w:jc w:val="left"/>
              <w:wordWrap w:val="0"/>
            </w:pPr>
            <w:r>
              <w:rPr>
                <w:rFonts w:ascii="Noto Sans SC" w:hAnsi="Noto Sans SC" w:eastAsia="Noto Sans SC"/>
                <w:b w:val="0"/>
                <w:color w:val="202D33"/>
                <w:sz w:val="18"/>
              </w:rPr>
              <w:t>制造费用</w:t>
            </w:r>
          </w:p>
        </w:tc>
        <w:tc>
          <w:tcPr>
            <w:tcW w:type="dxa" w:w="2452"/>
          </w:tcPr>
          <w:p>
            <w:pPr>
              <w:keepNext w:val="0"/>
              <w:keepLines/>
              <w:pageBreakBefore w:val="0"/>
              <w:widowControl/>
              <w:spacing w:line="259" w:lineRule="auto" w:before="0" w:after="60"/>
              <w:jc w:val="left"/>
              <w:wordWrap w:val="0"/>
            </w:pPr>
            <w:r>
              <w:rPr>
                <w:rFonts w:ascii="Noto Sans SC" w:hAnsi="Noto Sans SC" w:eastAsia="Noto Sans SC"/>
                <w:b w:val="0"/>
                <w:color w:val="202D33"/>
                <w:sz w:val="18"/>
              </w:rPr>
              <w:t>300.00</w:t>
            </w:r>
          </w:p>
        </w:tc>
        <w:tc>
          <w:tcPr>
            <w:tcW w:type="dxa" w:w="2452"/>
          </w:tcPr>
          <w:p>
            <w:pPr>
              <w:keepNext w:val="0"/>
              <w:keepLines/>
              <w:pageBreakBefore w:val="0"/>
              <w:widowControl/>
              <w:spacing w:line="259" w:lineRule="auto" w:before="0" w:after="60"/>
              <w:jc w:val="left"/>
              <w:wordWrap w:val="0"/>
            </w:pPr>
            <w:r>
              <w:rPr>
                <w:rFonts w:ascii="Noto Sans SC" w:hAnsi="Noto Sans SC" w:eastAsia="Noto Sans SC"/>
                <w:b w:val="0"/>
                <w:color w:val="202D33"/>
                <w:sz w:val="18"/>
              </w:rPr>
              <w:t>2.00</w:t>
            </w:r>
          </w:p>
        </w:tc>
        <w:tc>
          <w:tcPr>
            <w:tcW w:type="dxa" w:w="2452"/>
          </w:tcPr>
          <w:p>
            <w:pPr>
              <w:keepNext w:val="0"/>
              <w:keepLines/>
              <w:pageBreakBefore w:val="0"/>
              <w:widowControl/>
              <w:spacing w:line="259" w:lineRule="auto" w:before="0" w:after="60"/>
              <w:jc w:val="left"/>
              <w:wordWrap w:val="0"/>
            </w:pPr>
            <w:r>
              <w:rPr>
                <w:rFonts w:ascii="Noto Sans SC" w:hAnsi="Noto Sans SC" w:eastAsia="Noto Sans SC"/>
                <w:b w:val="0"/>
                <w:color w:val="202D33"/>
                <w:sz w:val="18"/>
              </w:rPr>
              <w:t>16.67</w:t>
            </w:r>
          </w:p>
        </w:tc>
      </w:tr>
    </w:tbl>
    <w:p>
      <w:pPr>
        <w:keepNext w:val="0"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材料 · 单位成本环比 1﻿6﻿.﻿6﻿7﻿%，超过合成演示阈值。</w:t>
      </w:r>
    </w:p>
    <w:p>
      <w:pPr>
        <w:keepNext w:val="0"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材料 · 总成本环比 2﻿5﻿.﻿0﻿0﻿%，超过合成演示阈值。</w:t>
      </w:r>
    </w:p>
    <w:p>
      <w:pPr>
        <w:keepNext w:val="0"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制造费用 · 单位成本环比 1﻿6﻿.﻿6﻿7﻿%，超过合成演示阈值。</w:t>
      </w:r>
    </w:p>
    <w:p>
      <w:pPr>
        <w:keepNext w:val="0"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制造费用 · 总成本环比 2﻿5﻿.﻿0﻿0﻿%，超过合成演示阈值。</w:t>
      </w:r>
    </w:p>
    <w:p>
      <w:pPr>
        <w:keepNext w:val="0"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drawing>
          <wp:inline xmlns:a="http://schemas.openxmlformats.org/drawingml/2006/main" xmlns:pic="http://schemas.openxmlformats.org/drawingml/2006/picture">
            <wp:extent cx="6120000" cy="20108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010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keepNext/>
        <w:keepLines/>
        <w:pageBreakBefore w:val="0"/>
        <w:widowControl/>
        <w:spacing w:line="276" w:lineRule="auto" w:before="200" w:after="100"/>
        <w:jc w:val="left"/>
        <w:wordWrap w:val="0"/>
      </w:pPr>
      <w:r>
        <w:rPr>
          <w:rFonts w:ascii="Noto Sans SC" w:hAnsi="Noto Sans SC" w:eastAsia="Noto Sans SC"/>
          <w:b/>
          <w:color w:val="143D50"/>
          <w:sz w:val="28"/>
        </w:rPr>
        <w:t>四、产品专项分析与核查</w:t>
      </w:r>
    </w:p>
    <w:p>
      <w:pPr>
        <w:keepNext w:val="0"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专用指标以明确驱动事实计算，数值和阈值均为合成假定，不是行业基准。</w:t>
      </w:r>
    </w:p>
    <w:p>
      <w:pPr>
        <w:keepNext w:val="0"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本期单位成本为9﻿.﻿0﻿0﻿元﻿/﻿盒，总成本为1﻿3﻿5﻿0﻿.﻿0﻿0﻿元，产量为1﻿5﻿0﻿.﻿0﻿0﻿盒。</w:t>
      </w:r>
    </w:p>
    <w:p>
      <w:pPr>
        <w:keepNext w:val="0"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材料存在期间差异；合成演示数据仅支持成本比较，尚不足以确认原因。</w:t>
      </w:r>
    </w:p>
    <w:p>
      <w:pPr>
        <w:keepNext w:val="0"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制造费用存在期间差异；合成演示数据仅支持成本比较，尚不足以确认原因。</w:t>
      </w:r>
    </w:p>
    <w:p>
      <w:pPr>
        <w:keepNext w:val="0"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材料单位成本口径：本期5﻿.﻿0﻿0﻿元﻿/﻿盒，基期4﻿.﻿2﻿9﻿元﻿/﻿盒，环比1﻿6﻿.﻿6﻿7﻿%。材料总成本口径：本期7﻿5﻿0﻿.﻿0﻿0﻿元，基期6﻿0﻿0﻿.﻿0﻿0﻿元，环比2﻿5﻿.﻿0﻿0﻿%。现有证据不足以确认原因；需补充并核查：本期与基期采购价格记录、BOM标准用量记录、批次实际耗用记录。</w:t>
      </w:r>
    </w:p>
    <w:p>
      <w:pPr>
        <w:keepNext w:val="0"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调取本期与基期同产品同规格的采购价格记录、BOM标准用量及批次实际耗用记录，按价量分解口径复核材料成本差异。</w:t>
      </w:r>
    </w:p>
    <w:p>
      <w:pPr>
        <w:keepNext w:val="0"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制造费用单位成本口径：本期2﻿.﻿0﻿0﻿元﻿/﻿盒，基期1﻿.﻿7﻿1﻿元﻿/﻿盒，环比1﻿6﻿.﻿6﻿7﻿%。制造费用总成本口径：本期3﻿0﻿0﻿.﻿0﻿0﻿元，基期2﻿4﻿0﻿.﻿0﻿0﻿元，环比2﻿5﻿.﻿0﻿0﻿%。现有证据不足以确认原因；需补充并核查：本期与基期制造费用明细归集记录、制造费用分摊基础记录、本期与基期产量记录。</w:t>
      </w:r>
    </w:p>
    <w:p>
      <w:pPr>
        <w:keepNext w:val="0"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调取本期与基期制造费用明细归集记录、分摊基础及产量记录，复核制造费用环比差异的构成。</w:t>
      </w:r>
    </w:p>
    <w:p>
      <w:pPr>
        <w:keepNext w:val="0"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跨厂比较方向：示范工厂A−示范工厂B，以示范工厂B为分母。比较限制：合成演示工厂；只比较同产品、规格、期间与政策的归集结果；缺采购/BOM/批次实耗不推算成本净原因。现有证据不足以确认原因；需补充并核查：示范工厂B材料采购价格记录、示范工厂B BOM标准用量记录、示范工厂B批次实际耗用记录、示范工厂B人工工时与费率记录、示范工厂B制造费用归集与分摊明细、两厂同产品同规格同期间同政策的成本归集口径说明。</w:t>
      </w:r>
    </w:p>
    <w:p>
      <w:pPr>
        <w:keepNext w:val="0"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跨厂比较方向：示范工厂A−示范工厂B，以示范工厂B为分母。比较限制：合成演示工厂；只比较同产品、规格、期间与政策的归集结果；缺采购/BOM/批次实耗不推算成本净原因。按同产品、同规格、同期间、同政策口径，调取两厂材料采购价格、BOM用量、批次实耗、人工工时与费率、制造费用归集与分摊明细，逐项复核跨厂差异构成。</w:t>
      </w:r>
    </w:p>
    <w:p>
      <w:pPr>
        <w:pStyle w:val="Heading1"/>
        <w:keepNext/>
        <w:keepLines/>
        <w:pageBreakBefore w:val="0"/>
        <w:widowControl/>
        <w:spacing w:line="276" w:lineRule="auto" w:before="200" w:after="100"/>
        <w:jc w:val="left"/>
        <w:wordWrap w:val="0"/>
      </w:pPr>
      <w:r>
        <w:rPr>
          <w:rFonts w:ascii="Noto Sans SC" w:hAnsi="Noto Sans SC" w:eastAsia="Noto Sans SC"/>
          <w:b/>
          <w:color w:val="143D50"/>
          <w:sz w:val="28"/>
        </w:rPr>
        <w:t>五、行业与工厂对标</w:t>
      </w:r>
    </w:p>
    <w:p>
      <w:pPr>
        <w:keepNext w:val="0"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示范工厂A−示范工厂B，以示范工厂B为分母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cantSplit/>
          <w:tblHeader/>
        </w:trPr>
        <w:tc>
          <w:tcPr>
            <w:tcW w:type="dxa" w:w="2452"/>
            <w:shd w:fill="EAF2F5"/>
          </w:tcPr>
          <w:p>
            <w:pPr>
              <w:keepNext w:val="0"/>
              <w:keepLines/>
              <w:pageBreakBefore w:val="0"/>
              <w:widowControl/>
              <w:spacing w:line="259" w:lineRule="auto" w:before="0" w:after="60"/>
              <w:jc w:val="left"/>
              <w:wordWrap w:val="0"/>
            </w:pPr>
            <w:r>
              <w:rPr>
                <w:rFonts w:ascii="Noto Sans SC" w:hAnsi="Noto Sans SC" w:eastAsia="Noto Sans SC"/>
                <w:b/>
                <w:color w:val="202D33"/>
                <w:sz w:val="18"/>
              </w:rPr>
              <w:t>要素</w:t>
            </w:r>
          </w:p>
        </w:tc>
        <w:tc>
          <w:tcPr>
            <w:tcW w:type="dxa" w:w="2452"/>
            <w:shd w:fill="EAF2F5"/>
          </w:tcPr>
          <w:p>
            <w:pPr>
              <w:keepNext w:val="0"/>
              <w:keepLines/>
              <w:pageBreakBefore w:val="0"/>
              <w:widowControl/>
              <w:spacing w:line="259" w:lineRule="auto" w:before="0" w:after="60"/>
              <w:jc w:val="left"/>
              <w:wordWrap w:val="0"/>
            </w:pPr>
            <w:r>
              <w:rPr>
                <w:rFonts w:ascii="Noto Sans SC" w:hAnsi="Noto Sans SC" w:eastAsia="Noto Sans SC"/>
                <w:b/>
                <w:color w:val="202D33"/>
                <w:sz w:val="18"/>
              </w:rPr>
              <w:t>示范工厂A（元/盒）</w:t>
            </w:r>
          </w:p>
        </w:tc>
        <w:tc>
          <w:tcPr>
            <w:tcW w:type="dxa" w:w="2452"/>
            <w:shd w:fill="EAF2F5"/>
          </w:tcPr>
          <w:p>
            <w:pPr>
              <w:keepNext w:val="0"/>
              <w:keepLines/>
              <w:pageBreakBefore w:val="0"/>
              <w:widowControl/>
              <w:spacing w:line="259" w:lineRule="auto" w:before="0" w:after="60"/>
              <w:jc w:val="left"/>
              <w:wordWrap w:val="0"/>
            </w:pPr>
            <w:r>
              <w:rPr>
                <w:rFonts w:ascii="Noto Sans SC" w:hAnsi="Noto Sans SC" w:eastAsia="Noto Sans SC"/>
                <w:b/>
                <w:color w:val="202D33"/>
                <w:sz w:val="18"/>
              </w:rPr>
              <w:t>示范工厂B（元/盒）</w:t>
            </w:r>
          </w:p>
        </w:tc>
        <w:tc>
          <w:tcPr>
            <w:tcW w:type="dxa" w:w="2452"/>
            <w:shd w:fill="EAF2F5"/>
          </w:tcPr>
          <w:p>
            <w:pPr>
              <w:keepNext w:val="0"/>
              <w:keepLines/>
              <w:pageBreakBefore w:val="0"/>
              <w:widowControl/>
              <w:spacing w:line="259" w:lineRule="auto" w:before="0" w:after="60"/>
              <w:jc w:val="left"/>
              <w:wordWrap w:val="0"/>
            </w:pPr>
            <w:r>
              <w:rPr>
                <w:rFonts w:ascii="Noto Sans SC" w:hAnsi="Noto Sans SC" w:eastAsia="Noto Sans SC"/>
                <w:b/>
                <w:color w:val="202D33"/>
                <w:sz w:val="18"/>
              </w:rPr>
              <w:t>差异（元/盒）</w:t>
            </w:r>
          </w:p>
        </w:tc>
      </w:tr>
      <w:tr>
        <w:trPr>
          <w:cantSplit/>
        </w:trPr>
        <w:tc>
          <w:tcPr>
            <w:tcW w:type="dxa" w:w="2452"/>
          </w:tcPr>
          <w:p>
            <w:pPr>
              <w:keepNext w:val="0"/>
              <w:keepLines/>
              <w:pageBreakBefore w:val="0"/>
              <w:widowControl/>
              <w:spacing w:line="259" w:lineRule="auto" w:before="0" w:after="60"/>
              <w:jc w:val="left"/>
              <w:wordWrap w:val="0"/>
            </w:pPr>
            <w:r>
              <w:rPr>
                <w:rFonts w:ascii="Noto Sans SC" w:hAnsi="Noto Sans SC" w:eastAsia="Noto Sans SC"/>
                <w:b w:val="0"/>
                <w:color w:val="202D33"/>
                <w:sz w:val="18"/>
              </w:rPr>
              <w:t>材料</w:t>
            </w:r>
          </w:p>
        </w:tc>
        <w:tc>
          <w:tcPr>
            <w:tcW w:type="dxa" w:w="2452"/>
          </w:tcPr>
          <w:p>
            <w:pPr>
              <w:keepNext w:val="0"/>
              <w:keepLines/>
              <w:pageBreakBefore w:val="0"/>
              <w:widowControl/>
              <w:spacing w:line="259" w:lineRule="auto" w:before="0" w:after="60"/>
              <w:jc w:val="left"/>
              <w:wordWrap w:val="0"/>
            </w:pPr>
            <w:r>
              <w:rPr>
                <w:rFonts w:ascii="Noto Sans SC" w:hAnsi="Noto Sans SC" w:eastAsia="Noto Sans SC"/>
                <w:b w:val="0"/>
                <w:color w:val="202D33"/>
                <w:sz w:val="18"/>
              </w:rPr>
              <w:t>5.00</w:t>
            </w:r>
          </w:p>
        </w:tc>
        <w:tc>
          <w:tcPr>
            <w:tcW w:type="dxa" w:w="2452"/>
          </w:tcPr>
          <w:p>
            <w:pPr>
              <w:keepNext w:val="0"/>
              <w:keepLines/>
              <w:pageBreakBefore w:val="0"/>
              <w:widowControl/>
              <w:spacing w:line="259" w:lineRule="auto" w:before="0" w:after="60"/>
              <w:jc w:val="left"/>
              <w:wordWrap w:val="0"/>
            </w:pPr>
            <w:r>
              <w:rPr>
                <w:rFonts w:ascii="Noto Sans SC" w:hAnsi="Noto Sans SC" w:eastAsia="Noto Sans SC"/>
                <w:b w:val="0"/>
                <w:color w:val="202D33"/>
                <w:sz w:val="18"/>
              </w:rPr>
              <w:t>10.00</w:t>
            </w:r>
          </w:p>
        </w:tc>
        <w:tc>
          <w:tcPr>
            <w:tcW w:type="dxa" w:w="2452"/>
          </w:tcPr>
          <w:p>
            <w:pPr>
              <w:keepNext w:val="0"/>
              <w:keepLines/>
              <w:pageBreakBefore w:val="0"/>
              <w:widowControl/>
              <w:spacing w:line="259" w:lineRule="auto" w:before="0" w:after="60"/>
              <w:jc w:val="left"/>
              <w:wordWrap w:val="0"/>
            </w:pPr>
            <w:r>
              <w:rPr>
                <w:rFonts w:ascii="Noto Sans SC" w:hAnsi="Noto Sans SC" w:eastAsia="Noto Sans SC"/>
                <w:b w:val="0"/>
                <w:color w:val="202D33"/>
                <w:sz w:val="18"/>
              </w:rPr>
              <w:t>-5.00</w:t>
            </w:r>
          </w:p>
        </w:tc>
      </w:tr>
      <w:tr>
        <w:trPr>
          <w:cantSplit/>
        </w:trPr>
        <w:tc>
          <w:tcPr>
            <w:tcW w:type="dxa" w:w="2452"/>
          </w:tcPr>
          <w:p>
            <w:pPr>
              <w:keepNext w:val="0"/>
              <w:keepLines/>
              <w:pageBreakBefore w:val="0"/>
              <w:widowControl/>
              <w:spacing w:line="259" w:lineRule="auto" w:before="0" w:after="60"/>
              <w:jc w:val="left"/>
              <w:wordWrap w:val="0"/>
            </w:pPr>
            <w:r>
              <w:rPr>
                <w:rFonts w:ascii="Noto Sans SC" w:hAnsi="Noto Sans SC" w:eastAsia="Noto Sans SC"/>
                <w:b w:val="0"/>
                <w:color w:val="202D33"/>
                <w:sz w:val="18"/>
              </w:rPr>
              <w:t>人工</w:t>
            </w:r>
          </w:p>
        </w:tc>
        <w:tc>
          <w:tcPr>
            <w:tcW w:type="dxa" w:w="2452"/>
          </w:tcPr>
          <w:p>
            <w:pPr>
              <w:keepNext w:val="0"/>
              <w:keepLines/>
              <w:pageBreakBefore w:val="0"/>
              <w:widowControl/>
              <w:spacing w:line="259" w:lineRule="auto" w:before="0" w:after="60"/>
              <w:jc w:val="left"/>
              <w:wordWrap w:val="0"/>
            </w:pPr>
            <w:r>
              <w:rPr>
                <w:rFonts w:ascii="Noto Sans SC" w:hAnsi="Noto Sans SC" w:eastAsia="Noto Sans SC"/>
                <w:b w:val="0"/>
                <w:color w:val="202D33"/>
                <w:sz w:val="18"/>
              </w:rPr>
              <w:t>2.00</w:t>
            </w:r>
          </w:p>
        </w:tc>
        <w:tc>
          <w:tcPr>
            <w:tcW w:type="dxa" w:w="2452"/>
          </w:tcPr>
          <w:p>
            <w:pPr>
              <w:keepNext w:val="0"/>
              <w:keepLines/>
              <w:pageBreakBefore w:val="0"/>
              <w:widowControl/>
              <w:spacing w:line="259" w:lineRule="auto" w:before="0" w:after="60"/>
              <w:jc w:val="left"/>
              <w:wordWrap w:val="0"/>
            </w:pPr>
            <w:r>
              <w:rPr>
                <w:rFonts w:ascii="Noto Sans SC" w:hAnsi="Noto Sans SC" w:eastAsia="Noto Sans SC"/>
                <w:b w:val="0"/>
                <w:color w:val="202D33"/>
                <w:sz w:val="18"/>
              </w:rPr>
              <w:t>4.00</w:t>
            </w:r>
          </w:p>
        </w:tc>
        <w:tc>
          <w:tcPr>
            <w:tcW w:type="dxa" w:w="2452"/>
          </w:tcPr>
          <w:p>
            <w:pPr>
              <w:keepNext w:val="0"/>
              <w:keepLines/>
              <w:pageBreakBefore w:val="0"/>
              <w:widowControl/>
              <w:spacing w:line="259" w:lineRule="auto" w:before="0" w:after="60"/>
              <w:jc w:val="left"/>
              <w:wordWrap w:val="0"/>
            </w:pPr>
            <w:r>
              <w:rPr>
                <w:rFonts w:ascii="Noto Sans SC" w:hAnsi="Noto Sans SC" w:eastAsia="Noto Sans SC"/>
                <w:b w:val="0"/>
                <w:color w:val="202D33"/>
                <w:sz w:val="18"/>
              </w:rPr>
              <w:t>-2.00</w:t>
            </w:r>
          </w:p>
        </w:tc>
      </w:tr>
      <w:tr>
        <w:trPr>
          <w:cantSplit/>
        </w:trPr>
        <w:tc>
          <w:tcPr>
            <w:tcW w:type="dxa" w:w="2452"/>
          </w:tcPr>
          <w:p>
            <w:pPr>
              <w:keepNext w:val="0"/>
              <w:keepLines/>
              <w:pageBreakBefore w:val="0"/>
              <w:widowControl/>
              <w:spacing w:line="259" w:lineRule="auto" w:before="0" w:after="60"/>
              <w:jc w:val="left"/>
              <w:wordWrap w:val="0"/>
            </w:pPr>
            <w:r>
              <w:rPr>
                <w:rFonts w:ascii="Noto Sans SC" w:hAnsi="Noto Sans SC" w:eastAsia="Noto Sans SC"/>
                <w:b w:val="0"/>
                <w:color w:val="202D33"/>
                <w:sz w:val="18"/>
              </w:rPr>
              <w:t>制造费用</w:t>
            </w:r>
          </w:p>
        </w:tc>
        <w:tc>
          <w:tcPr>
            <w:tcW w:type="dxa" w:w="2452"/>
          </w:tcPr>
          <w:p>
            <w:pPr>
              <w:keepNext w:val="0"/>
              <w:keepLines/>
              <w:pageBreakBefore w:val="0"/>
              <w:widowControl/>
              <w:spacing w:line="259" w:lineRule="auto" w:before="0" w:after="60"/>
              <w:jc w:val="left"/>
              <w:wordWrap w:val="0"/>
            </w:pPr>
            <w:r>
              <w:rPr>
                <w:rFonts w:ascii="Noto Sans SC" w:hAnsi="Noto Sans SC" w:eastAsia="Noto Sans SC"/>
                <w:b w:val="0"/>
                <w:color w:val="202D33"/>
                <w:sz w:val="18"/>
              </w:rPr>
              <w:t>2.00</w:t>
            </w:r>
          </w:p>
        </w:tc>
        <w:tc>
          <w:tcPr>
            <w:tcW w:type="dxa" w:w="2452"/>
          </w:tcPr>
          <w:p>
            <w:pPr>
              <w:keepNext w:val="0"/>
              <w:keepLines/>
              <w:pageBreakBefore w:val="0"/>
              <w:widowControl/>
              <w:spacing w:line="259" w:lineRule="auto" w:before="0" w:after="60"/>
              <w:jc w:val="left"/>
              <w:wordWrap w:val="0"/>
            </w:pPr>
            <w:r>
              <w:rPr>
                <w:rFonts w:ascii="Noto Sans SC" w:hAnsi="Noto Sans SC" w:eastAsia="Noto Sans SC"/>
                <w:b w:val="0"/>
                <w:color w:val="202D33"/>
                <w:sz w:val="18"/>
              </w:rPr>
              <w:t>4.00</w:t>
            </w:r>
          </w:p>
        </w:tc>
        <w:tc>
          <w:tcPr>
            <w:tcW w:type="dxa" w:w="2452"/>
          </w:tcPr>
          <w:p>
            <w:pPr>
              <w:keepNext w:val="0"/>
              <w:keepLines/>
              <w:pageBreakBefore w:val="0"/>
              <w:widowControl/>
              <w:spacing w:line="259" w:lineRule="auto" w:before="0" w:after="60"/>
              <w:jc w:val="left"/>
              <w:wordWrap w:val="0"/>
            </w:pPr>
            <w:r>
              <w:rPr>
                <w:rFonts w:ascii="Noto Sans SC" w:hAnsi="Noto Sans SC" w:eastAsia="Noto Sans SC"/>
                <w:b w:val="0"/>
                <w:color w:val="202D33"/>
                <w:sz w:val="18"/>
              </w:rPr>
              <w:t>-2.00</w:t>
            </w:r>
          </w:p>
        </w:tc>
      </w:tr>
    </w:tbl>
    <w:p>
      <w:pPr>
        <w:keepNext w:val="0"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仅合成已归集成本与专用驱动事实；不推算采购/BOM明细</w:t>
      </w:r>
    </w:p>
    <w:p>
      <w:pPr>
        <w:pStyle w:val="Heading1"/>
        <w:keepNext/>
        <w:keepLines/>
        <w:pageBreakBefore w:val="0"/>
        <w:widowControl/>
        <w:spacing w:line="276" w:lineRule="auto" w:before="200" w:after="100"/>
        <w:jc w:val="left"/>
        <w:wordWrap w:val="0"/>
      </w:pPr>
      <w:r>
        <w:rPr>
          <w:rFonts w:ascii="Noto Sans SC" w:hAnsi="Noto Sans SC" w:eastAsia="Noto Sans SC"/>
          <w:b/>
          <w:color w:val="143D50"/>
          <w:sz w:val="28"/>
        </w:rPr>
        <w:t>六、改进建议</w:t>
      </w:r>
    </w:p>
    <w:p>
      <w:pPr>
        <w:keepNext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核查对象：材料成本归集与生产记录</w:t>
      </w:r>
    </w:p>
    <w:p>
      <w:pPr>
        <w:keepNext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核查行动：核对成本归集和生产计量记录，确认口径一致后分析差异；缺少明细时保留待核查状态。</w:t>
      </w:r>
    </w:p>
    <w:p>
      <w:pPr>
        <w:keepNext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责任岗位：待分配</w:t>
      </w:r>
    </w:p>
    <w:p>
      <w:pPr>
        <w:keepNext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期限依据：提交本期成本复核结论前完成资料核对；由责任部门确认具体日期</w:t>
      </w:r>
    </w:p>
    <w:p>
      <w:pPr>
        <w:keepNext w:val="0"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预期证据：对应成本归集明细、对应生产计量记录</w:t>
      </w:r>
    </w:p>
    <w:p>
      <w:pPr>
        <w:keepNext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核查对象：制造费用成本归集与生产记录</w:t>
      </w:r>
    </w:p>
    <w:p>
      <w:pPr>
        <w:keepNext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核查行动：核对成本归集和生产计量记录，确认口径一致后分析差异；缺少明细时保留待核查状态。</w:t>
      </w:r>
    </w:p>
    <w:p>
      <w:pPr>
        <w:keepNext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责任岗位：待分配</w:t>
      </w:r>
    </w:p>
    <w:p>
      <w:pPr>
        <w:keepNext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期限依据：提交本期成本复核结论前完成资料核对；由责任部门确认具体日期</w:t>
      </w:r>
    </w:p>
    <w:p>
      <w:pPr>
        <w:keepNext w:val="0"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预期证据：对应成本归集明细、对应生产计量记录</w:t>
      </w:r>
    </w:p>
    <w:p>
      <w:pPr>
        <w:keepNext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核查对象：材料成本环比差异的价量分解结果</w:t>
      </w:r>
    </w:p>
    <w:p>
      <w:pPr>
        <w:keepNext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核查行动：调取本期与基期同产品同规格的采购价格记录、BOM标准用量及批次实际耗用记录，按价量分解口径复核材料成本差异。</w:t>
      </w:r>
    </w:p>
    <w:p>
      <w:pPr>
        <w:keepNext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责任岗位：待分配</w:t>
      </w:r>
    </w:p>
    <w:p>
      <w:pPr>
        <w:keepNext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期限依据：月度成本结账后5个工作日内</w:t>
      </w:r>
    </w:p>
    <w:p>
      <w:pPr>
        <w:keepNext w:val="0"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预期证据：本期采购价格记录、基期采购价格记录、BOM标准用量记录、批次实际耗用记录</w:t>
      </w:r>
    </w:p>
    <w:p>
      <w:pPr>
        <w:keepNext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核查对象：制造费用环比差异的构成分析</w:t>
      </w:r>
    </w:p>
    <w:p>
      <w:pPr>
        <w:keepNext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核查行动：调取本期与基期制造费用明细归集记录、分摊基础及产量记录，复核制造费用环比差异的构成。</w:t>
      </w:r>
    </w:p>
    <w:p>
      <w:pPr>
        <w:keepNext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责任岗位：待分配</w:t>
      </w:r>
    </w:p>
    <w:p>
      <w:pPr>
        <w:keepNext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期限依据：月度成本分析完成后5个工作日内</w:t>
      </w:r>
    </w:p>
    <w:p>
      <w:pPr>
        <w:keepNext w:val="0"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预期证据：本期制造费用明细归集记录、基期制造费用明细归集记录、制造费用分摊基础记录、本期与基期产量记录</w:t>
      </w:r>
    </w:p>
    <w:p>
      <w:pPr>
        <w:keepNext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核查对象：两厂同口径成本项目明细对比结果</w:t>
      </w:r>
    </w:p>
    <w:p>
      <w:pPr>
        <w:keepNext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核查行动：按同产品、同规格、同期间、同政策口径，调取两厂材料采购价格、BOM用量、批次实耗、人工工时与费率、制造费用归集与分摊明细，逐项复核跨厂差异构成。</w:t>
      </w:r>
    </w:p>
    <w:p>
      <w:pPr>
        <w:keepNext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责任岗位：待分配</w:t>
      </w:r>
    </w:p>
    <w:p>
      <w:pPr>
        <w:keepNext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期限依据：月度成本分析完成后10个工作日内</w:t>
      </w:r>
    </w:p>
    <w:p>
      <w:pPr>
        <w:keepNext w:val="0"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预期证据：示范工厂A与示范工厂B材料采购价格记录、示范工厂A与示范工厂B BOM标准用量记录、示范工厂A与示范工厂B批次实际耗用记录、示范工厂A与示范工厂B人工工时与费率记录、示范工厂A与示范工厂B制造费用归集与分摊明细</w:t>
      </w:r>
    </w:p>
    <w:p>
      <w:pPr>
        <w:keepNext w:val="0"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任务须确认后才可模拟送达；送达不等于整改完成。人工归因0—5分、可读性及版式均待真人评审。</w:t>
      </w:r>
    </w:p>
    <w:p>
      <w:pPr>
        <w:keepNext w:val="0"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大模型解释：已配置应用凭据；本轮真实模型调用待验证</w:t>
      </w:r>
    </w:p>
    <w:p>
      <w:pPr>
        <w:keepNext w:val="0"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模拟送达：缺少：模拟RPA在线验证（连接配置不等于已送达）</w:t>
      </w:r>
    </w:p>
    <w:p>
      <w:pPr>
        <w:keepNext w:val="0"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在制品计价：缺少在制品计价与完工分配策略</w:t>
      </w:r>
    </w:p>
    <w:p>
      <w:pPr>
        <w:keepNext w:val="0"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联副产品分配：缺少联副产品分配政策和产出事实</w:t>
      </w:r>
    </w:p>
    <w:p>
      <w:pPr>
        <w:keepNext w:val="0"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严格价量分解：缺少实际采购价格及实物耗用量</w:t>
      </w:r>
    </w:p>
    <w:p>
      <w:pPr>
        <w:keepNext/>
        <w:keepLines/>
        <w:pageBreakBefore w:val="0"/>
        <w:widowControl/>
        <w:spacing w:line="276" w:lineRule="auto" w:before="200" w:after="100"/>
        <w:jc w:val="left"/>
        <w:wordWrap w:val="0"/>
      </w:pPr>
      <w:r>
        <w:rPr>
          <w:rFonts w:ascii="Noto Sans SC" w:hAnsi="Noto Sans SC" w:eastAsia="Noto Sans SC"/>
          <w:b/>
          <w:color w:val="143D50"/>
          <w:sz w:val="23"/>
        </w:rPr>
        <w:t>证据来源</w:t>
      </w:r>
    </w:p>
    <w:p>
      <w:pPr>
        <w:keepNext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术语与限制（合成演示） · 记录2</w:t>
      </w:r>
    </w:p>
    <w:p>
      <w:pPr>
        <w:keepNext w:val="0"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成本核查规程（合成演示） · 记录1</w:t>
      </w:r>
    </w:p>
    <w:sectPr w:rsidR="00FC693F" w:rsidRPr="0006063C" w:rsidSect="00034616">
      <w:footerReference w:type="default" r:id="rId10"/>
      <w:pgSz w:w="11906" w:h="16838"/>
      <w:pgMar w:top="964" w:right="964" w:bottom="1247" w:left="964" w:header="72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Noto Sans SC" w:hAnsi="Noto Sans SC"/>
        <w:sz w:val="18"/>
      </w:rPr>
      <w:t xml:space="preserve">第 </w:t>
    </w:r>
    <w:fldSimple w:instr="PAGE">
      <w:r>
        <w:t>1</w:t>
      </w:r>
    </w:fldSimple>
    <w:r>
      <w:rPr>
        <w:rFonts w:ascii="Noto Sans SC" w:hAnsi="Noto Sans SC"/>
        <w:sz w:val="18"/>
      </w:rPr>
      <w:t xml:space="preserve"> 页 / 共 </w:t>
    </w:r>
    <w:fldSimple w:instr="NUMPAGES">
      <w:r>
        <w:t>1</w:t>
      </w:r>
    </w:fldSimple>
    <w:r>
      <w:rPr>
        <w:rFonts w:ascii="Noto Sans SC" w:hAnsi="Noto Sans SC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100"/>
    </w:pPr>
    <w:rPr>
      <w:rFonts w:ascii="Noto Sans SC" w:hAnsi="Noto Sans SC" w:eastAsia="Noto Sans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00" w:line="283" w:lineRule="auto"/>
      <w:outlineLvl w:val="0"/>
    </w:pPr>
    <w:rPr>
      <w:rFonts w:asciiTheme="majorHAnsi" w:eastAsiaTheme="majorEastAsia" w:hAnsiTheme="majorHAnsi" w:cstheme="majorBidi" w:ascii="Noto Sans SC" w:hAnsi="Noto Sans SC" w:eastAsia="Noto Sans SC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 w:line="283" w:lineRule="auto"/>
      <w:outlineLvl w:val="1"/>
    </w:pPr>
    <w:rPr>
      <w:rFonts w:asciiTheme="majorHAnsi" w:eastAsiaTheme="majorEastAsia" w:hAnsiTheme="majorHAnsi" w:cstheme="majorBidi" w:ascii="Noto Sans SC" w:hAnsi="Noto Sans SC" w:eastAsia="Noto Sans SC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83" w:lineRule="auto"/>
      <w:outlineLvl w:val="2"/>
    </w:pPr>
    <w:rPr>
      <w:rFonts w:asciiTheme="majorHAnsi" w:eastAsiaTheme="majorEastAsia" w:hAnsiTheme="majorHAnsi" w:cstheme="majorBidi" w:ascii="Noto Sans SC" w:hAnsi="Noto Sans SC" w:eastAsia="Noto Sans SC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83" w:lineRule="auto"/>
      <w:contextualSpacing/>
    </w:pPr>
    <w:rPr>
      <w:rFonts w:asciiTheme="majorHAnsi" w:eastAsiaTheme="majorEastAsia" w:hAnsiTheme="majorHAnsi" w:cstheme="majorBidi" w:ascii="Noto Sans SC" w:hAnsi="Noto Sans SC" w:eastAsia="Noto Sans SC"/>
      <w:color w:val="17365D" w:themeColor="text2" w:themeShade="BF"/>
      <w:spacing w:val="5"/>
      <w:kern w:val="28"/>
      <w:sz w:val="21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00" w:line="283" w:lineRule="auto"/>
    </w:pPr>
    <w:rPr>
      <w:rFonts w:ascii="Noto Sans SC" w:hAnsi="Noto Sans SC" w:eastAsia="Noto Sans SC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