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2026-06 · 10g×2﻿0﻿袋﻿/﻿盒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核心发现：本月单位成本 7﻿.﻿2﻿6﻿ ﻿元﻿/﻿盒，总成本 6﻿5﻿3﻿4﻿0﻿0﻿.﻿0﻿0﻿ ﻿元。对成本影响最大的是直接材料，每盒比上月减少 0﻿.﻿1﻿5﻿ ﻿元。正文第三节按要素拆解变动并给出方向评估，第五节是与中药二厂的对比，第六节给出可直接执行的核查建议。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一、封面与基本信息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二、总成本概览　·　第2页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2.1 核心指标一览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2.2 成本结构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三、成本要素明细分析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3.1 直接材料分析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3.1.1 原材料成本明细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3.1.2 材料成本变动归因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3.2 直接人工分析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3.3 制造费用分析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四、重点产品专项分析 — 板蓝根颗粒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4.1 可用期间单位成本趋势（截至 2026-06，共 6 个月）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4.2 成本异常点排查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4.3 关键原材料市场价格跟踪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五、对标分析　·　第8页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5.1 差异总览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5.2 差异结构拆解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5.3 差异归因分析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六、总结与建议　·　第9页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6.1 本月成本管理亮点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6.2 需关注的问题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6.3 改进建议</ns0:t>
      </ns0:r>
    </ns0:p>
    <ns0:p>
      <ns0:pPr>
        <ns0:keepNext/>
        <ns0:keepLines/>
        <ns0:pageBreakBefore ns0:val="0"/>
        <ns0:widowControl/>
        <ns0:spacing ns0:after="20" ns0:line="312" ns0:lineRule="auto" ns0:before="2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　　6.4 整改任务清单（自动生成）</ns0:t>
      </ns0:r>
    </ns0:p>
    <ns0:p>
      <ns0:bookmarkStart ns0:id="31000" ns0:name="YH_SEC_0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  <ns0:bookmarkEnd ns0:id="3100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项目</ns0:t>
            </ns0:r>
          </ns0:p>
        </ns0:tc>
        <ns0:tc>
          <ns0:tcPr>
            <ns0:tcW ns0:type="dxa" ns0:w="4904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报告类型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分析月份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分析产品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产品规格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10g×2﻿0﻿袋﻿/﻿盒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本月产量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9﻿0﻿0﻿0﻿0﻿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编制人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成本智能分析系统（生成稿·待责任人复核署名）</ns0:t>
            </ns0:r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审核人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数据来源</ns0:t>
            </ns0:r>
          </ns0:p>
        </ns0:tc>
        <ns0:tc>
          <ns0:tcPr>
            <ns0:tcW ns0:type="dxa" ns0:w="4904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创灵境题包模拟CSV（非实时ERP）</ns0:t>
            </ns0:r>
          </ns0:p>
        </ns0:tc>
      </ns0:tr>
    </ns0:tbl>
    <ns0:p>
      <ns0:bookmarkStart ns0:id="31001" ns0:name="YH_SEC_1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  <ns0:bookmarkEnd ns0:id="31001"/>
    </ns0:p>
    <ns0:p>
      <ns0:bookmarkStart ns0:id="31002" ns0:name="YH_SEC_2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  <ns0:bookmarkEnd ns0:id="31002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指标</ns0:t>
            </ns0:r>
          </ns0:p>
        </ns0:tc>
        <ns0:tc>
          <ns0:tcPr>
            <ns0:tcW ns0:type="dxa" ns0:w="133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本月实际</ns0:t>
            </ns0:r>
          </ns0:p>
        </ns0:tc>
        <ns0:tc>
          <ns0:tcPr>
            <ns0:tcW ns0:type="dxa" ns0:w="133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上月实际</ns0:t>
            </ns0:r>
          </ns0:p>
        </ns0:tc>
        <ns0:tc>
          <ns0:tcPr>
            <ns0:tcW ns0:type="dxa" ns0:w="1020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环比变动</ns0:t>
            </ns0:r>
          </ns0:p>
        </ns0:tc>
        <ns0:tc>
          <ns0:tcPr>
            <ns0:tcW ns0:type="dxa" ns0:w="133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去年同月</ns0:t>
            </ns0:r>
          </ns0:p>
        </ns0:tc>
        <ns0:tc>
          <ns0:tcPr>
            <ns0:tcW ns0:type="dxa" ns0:w="1020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同比变动</ns0:t>
            </ns0:r>
          </ns0:p>
        </ns0:tc>
        <ns0:tc>
          <ns0:tcPr>
            <ns0:tcW ns0:type="dxa" ns0:w="133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预算值</ns0:t>
            </ns0:r>
          </ns0:p>
        </ns0:tc>
        <ns0:tc>
          <ns0:tcPr>
            <ns0:tcW ns0:type="dxa" ns0:w="1020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产量(盒)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90000</ns0:t>
            </ns0:r>
            <ns0:bookmarkEnd ns0:id="1016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102000</ns0:t>
            </ns0:r>
            <ns0:bookmarkEnd ns0:id="1016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-﻿1﻿1﻿.﻿7﻿6﻿%</ns0:t>
            </ns0:r>
            <ns0:bookmarkEnd ns0:id="1016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85500</ns0:t>
            </ns0:r>
            <ns0:bookmarkEnd ns0:id="10165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5﻿.﻿2﻿6﻿%</ns0:t>
            </ns0:r>
            <ns0:bookmarkEnd ns0:id="10166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90000</ns0:t>
            </ns0:r>
            <ns0:bookmarkEnd ns0:id="10167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0﻿.﻿0﻿0﻿%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单位成本(元/盒)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7.26</ns0:t>
            </ns0:r>
            <ns0:bookmarkEnd ns0:id="10170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7.47</ns0:t>
            </ns0:r>
            <ns0:bookmarkEnd ns0:id="10171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-﻿2﻿.﻿8﻿1﻿%</ns0:t>
            </ns0:r>
            <ns0:bookmarkEnd ns0:id="1017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7.00</ns0:t>
            </ns0:r>
            <ns0:bookmarkEnd ns0:id="1017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3﻿.﻿7﻿1﻿%</ns0:t>
            </ns0:r>
            <ns0:bookmarkEnd ns0:id="1017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7.00</ns0:t>
            </ns0:r>
            <ns0:bookmarkEnd ns0:id="10175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3﻿.﻿7﻿1﻿%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总成本(元)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653400.00</ns0:t>
            </ns0:r>
            <ns0:bookmarkEnd ns0:id="10178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761940.00</ns0:t>
            </ns0:r>
            <ns0:bookmarkEnd ns0:id="10179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-﻿1﻿4﻿.﻿2﻿5﻿%</ns0:t>
            </ns0:r>
            <ns0:bookmarkEnd ns0:id="10180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598500.00</ns0:t>
            </ns0:r>
            <ns0:bookmarkEnd ns0:id="10181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9﻿.﻿1﻿7﻿%</ns0:t>
            </ns0:r>
            <ns0:bookmarkEnd ns0:id="1018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630000.00</ns0:t>
            </ns0:r>
            <ns0:bookmarkEnd ns0:id="1018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3﻿.﻿7﻿1﻿%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其中：直接材料(元/盒)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4.60</ns0:t>
            </ns0:r>
            <ns0:bookmarkEnd ns0:id="10186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4.75</ns0:t>
            </ns0:r>
            <ns0:bookmarkEnd ns0:id="10187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-﻿3﻿.﻿1﻿6﻿%</ns0:t>
            </ns0:r>
            <ns0:bookmarkEnd ns0:id="10188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4.38</ns0:t>
            </ns0:r>
            <ns0:bookmarkEnd ns0:id="22109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5﻿.﻿0﻿2﻿%</ns0:t>
            </ns0:r>
            <ns0:bookmarkEnd ns0:id="22110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4.38</ns0:t>
            </ns0:r>
            <ns0:bookmarkEnd ns0:id="10191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5﻿.﻿0﻿2﻿%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其中：直接人工(元/盒)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1.04</ns0:t>
            </ns0:r>
            <ns0:bookmarkEnd ns0:id="1019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1.06</ns0:t>
            </ns0:r>
            <ns0:bookmarkEnd ns0:id="10195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-﻿1﻿.﻿8﻿9﻿%</ns0:t>
            </ns0:r>
            <ns0:bookmarkEnd ns0:id="10196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1.02</ns0:t>
            </ns0:r>
            <ns0:bookmarkEnd ns0:id="22111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1﻿.﻿9﻿6﻿%</ns0:t>
            </ns0:r>
            <ns0:bookmarkEnd ns0:id="2211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1.02</ns0:t>
            </ns0:r>
            <ns0:bookmarkEnd ns0:id="10199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1﻿.﻿9﻿6﻿%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其中：制造费用(元/盒)</ns0:t>
            </ns0:r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1.62</ns0:t>
            </ns0:r>
            <ns0:bookmarkEnd ns0:id="10202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1.66</ns0:t>
            </ns0:r>
            <ns0:bookmarkEnd ns0:id="1020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-﻿2﻿.﻿4﻿1﻿%</ns0:t>
            </ns0:r>
            <ns0:bookmarkEnd ns0:id="1020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1.60</ns0:t>
            </ns0:r>
            <ns0:bookmarkEnd ns0:id="22113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1﻿.﻿2﻿5﻿%</ns0:t>
            </ns0:r>
            <ns0:bookmarkEnd ns0:id="22114"/>
          </ns0:p>
        </ns0:tc>
        <ns0:tc>
          <ns0:tcPr>
            <ns0:tcW ns0:type="dxa" ns0:w="133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1.60</ns0:t>
            </ns0:r>
            <ns0:bookmarkEnd ns0:id="10207"/>
          </ns0:p>
        </ns0:tc>
        <ns0:tc>
          <ns0:tcPr>
            <ns0:tcW ns0:type="dxa" ns0:w="1020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1﻿.﻿2﻿5﻿%</ns0:t>
            </ns0:r>
            <ns0:bookmarkEnd ns0:id="10208"/>
          </ns0:p>
        </ns0:tc>
      </ns0:tr>
    </ns0:tbl>
    <ns0:p>
      <ns0:bookmarkStart ns0:id="31003" ns0:name="YH_SEC_3"/>
      <ns0:pPr>
        <ns0:keepNext/>
        <ns0:keepLines/>
        <ns0:pageBreakBefore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  <ns0:bookmarkEnd ns0:id="31003"/>
    </ns0:p>
    <ns0:p>
      <ns0:pPr>
        <ns0:keepNext/>
        <ns0:keepLines/>
        <ns0:pageBreakBefore ns0:val="0"/>
        <ns0:widowControl/>
        <ns0:spacing ns0:line="331" ns0:lineRule="auto" ns0:before="80" ns0:after="200"/>
        <ns0:jc ns0:val="center"/>
        <ns0:wordWrap ns0:val="0"/>
      </ns0:pPr>
      <ns0:r>
        <ns0:rPr>
          <ns0:rFonts ns0:ascii="Noto Sans SC" ns0:hAnsi="Noto Sans SC" ns0:eastAsia="Noto Sans SC"/>
          <ns0:b ns0:val="0"/>
          <ns0:color ns0:val="5A6B70"/>
          <ns0:sz ns0:val="17"/>
        </ns0:rPr>
        <ns0:t>图｜板蓝根颗粒 · 中药一厂 · 2026-06｜上期至本期单位成本变动（零线双区：负向柱在零线下）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2595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95010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331" ns0:lineRule="auto" ns0:before="80" ns0:after="200"/>
        <ns0:jc ns0:val="center"/>
        <ns0:wordWrap ns0:val="0"/>
      </ns0:pPr>
      <ns0:r>
        <ns0:rPr>
          <ns0:rFonts ns0:ascii="Noto Sans SC" ns0:hAnsi="Noto Sans SC" ns0:eastAsia="Noto Sans SC"/>
          <ns0:b ns0:val="0"/>
          <ns0:color ns0:val="5A6B70"/>
          <ns0:sz ns0:val="17"/>
        </ns0:rPr>
        <ns0:t>图｜板蓝根颗粒 · 中药一厂 · 2026-06｜三要素单位成本构成占比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4680000" cy="3133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361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成本要素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金额(元/盒)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占比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环比变动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直接材料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4.60</ns0:t>
            </ns0:r>
            <ns0:bookmarkEnd ns0:id="1021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6﻿3﻿.﻿3﻿6﻿%</ns0:t>
            </ns0:r>
            <ns0:bookmarkEnd ns0:id="1021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-0.15</ns0:t>
            </ns0:r>
            <ns0:bookmarkEnd ns0:id="1021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7﻿1﻿.﻿4﻿3﻿%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直接人工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1.04</ns0:t>
            </ns0:r>
            <ns0:bookmarkEnd ns0:id="1022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1﻿4﻿.﻿3﻿3﻿%</ns0:t>
            </ns0:r>
            <ns0:bookmarkEnd ns0:id="10223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-0.02</ns0:t>
            </ns0:r>
            <ns0:bookmarkEnd ns0:id="1022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9﻿.﻿5﻿2﻿%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制造费用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1.62</ns0:t>
            </ns0:r>
            <ns0:bookmarkEnd ns0:id="1022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2﻿2﻿.﻿3﻿1﻿%</ns0:t>
            </ns0:r>
            <ns0:bookmarkEnd ns0:id="1022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-0.04</ns0:t>
            </ns0:r>
            <ns0:bookmarkEnd ns0:id="1022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1﻿9﻿.﻿0﻿5﻿%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合计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7.26</ns0:t>
            </ns0:r>
            <ns0:bookmarkEnd ns0:id="1023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1﻿0﻿0﻿%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-0.21</ns0:t>
            </ns0:r>
            <ns0:bookmarkEnd ns0:id="1023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1﻿0﻿0﻿.﻿0﻿0﻿%</ns0:t>
            </ns0:r>
            <ns0:bookmarkEnd ns0:id="10235"/>
          </ns0:p>
        </ns0:tc>
      </ns0:tr>
    </ns0:tbl>
    <ns0:p>
      <ns0:bookmarkStart ns0:id="31004" ns0:name="YH_SEC_4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  <ns0:bookmarkEnd ns0:id="31004"/>
    </ns0:p>
    <ns0:p>
      <ns0:bookmarkStart ns0:id="31005" ns0:name="YH_SEC_5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  <ns0:bookmarkEnd ns0:id="31005"/>
    </ns0:p>
    <ns0:p>
      <ns0:bookmarkStart ns0:id="31006" ns0:name="YH_SEC_6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  <ns0:bookmarkEnd ns0:id="31006"/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月份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原料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单位消耗成本（元/盒）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板蓝根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2.95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265500.0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蔗糖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0.56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50400.0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糊精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0.36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32400.0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包装材料(复合膜袋+纸盒)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0.73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65700.0</ns0:t>
            </ns0:r>
          </ns0:p>
        </ns0:tc>
      </ns0:tr>
    </ns0:tbl>
    <ns0:p>
      <ns0:bookmarkStart ns0:id="31007" ns0:name="YH_SEC_7"/>
      <ns0:pPr>
        <ns0:keepNext/>
        <ns0:keepLines/>
        <ns0:pageBreakBefore/>
        <ns0:widowControl/>
        <ns0:spacing ns0:line="331" ns0:lineRule="auto" ns0:before="240" ns0:after="12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  <ns0:bookmarkEnd ns0:id="31007"/>
    </ns0:p>
    <ns0:p>
      <ns0:bookmarkStart ns0:id="10242" ns0:name="YH_c282ade0_242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4﻿.﻿6﻿0﻿ ﻿元，比上期变动 -﻿0﻿.﻿1﻿5﻿ ﻿元，占单位成本变动的 7﻿1﻿.﻿4﻿3﻿%。</ns0:t>
        <ns0:br/>
        <ns0:t xml:space="preserve">板蓝根：3.05 → 2﻿.﻿9﻿5﻿ ﻿元﻿/﻿盒，变动 -﻿0﻿.﻿1﻿0﻿ ﻿元﻿/﻿盒，占材料增量 6﻿6﻿.﻿6﻿7﻿%；包装材料(复合膜袋+纸盒)：0.75 → 0﻿.﻿7﻿3﻿ ﻿元﻿/﻿盒，变动 -﻿0﻿.﻿0﻿2﻿ ﻿元﻿/﻿盒，占材料增量 1﻿3﻿.﻿3﻿3﻿%；蔗糖：0.58 → 0﻿.﻿5﻿6﻿ ﻿元﻿/﻿盒，变动 -﻿0﻿.﻿0﻿2﻿ ﻿元﻿/﻿盒，占材料增量 1﻿3﻿.﻿3﻿3﻿%；糊精：0.37 → 0﻿.﻿3﻿6﻿ ﻿元﻿/﻿盒，变动 -﻿0﻿.﻿0﻿1﻿ ﻿元﻿/﻿盒，占材料增量 6﻿.﻿6﻿7﻿%。 单位消耗成本同时受价格和实耗影响；需采购入库单、批次领退料及合格产出记录，才能分别核验价格与耗量。</ns0:t>
        <ns0:br/>
        <ns0:t xml:space="preserve">提取收率变化可能影响每盒材料耗用；现有工艺文档给出控制要求，尚不能证明本期实际收率下降。需将批次投料和合格产出与上期对照核查。</ns0:t>
        <ns0:br/>
        <ns0:t xml:space="preserve">直接材料总成本口径：本期4﻿1﻿4﻿0﻿0﻿0﻿.﻿0﻿0﻿元，基期4﻿8﻿4﻿5﻿0﻿0﻿.﻿0﻿0﻿元，环比-﻿1﻿4﻿.﻿5﻿5﻿%。直接材料单位成本下降可能主要来自板蓝根，板蓝根单价下降或提取收率改善都可能降低单盒耗用成本；配方文档提示提取收率直接影响板蓝根单耗，该方向可能性中等偏高；蔗糖与包装材料单价同步小幅回落也可能共同压低材料成本，可能性中等。尚不能确认价格与收率各自贡献，需核查采购合同与批生产记录。</ns0:t>
      </ns0:r>
      <ns0:bookmarkEnd ns0:id="10242"/>
    </ns0:p>
    <ns0:p>
      <ns0:bookmarkStart ns0:id="31008" ns0:name="YH_SEC_8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  <ns0:bookmarkEnd ns0:id="31008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指标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本月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上月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环比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单位人工成本(元/盒)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1.04</ns0:t>
            </ns0:r>
            <ns0:bookmarkEnd ns0:id="10250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1.06</ns0:t>
            </ns0:r>
            <ns0:bookmarkEnd ns0:id="10251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-﻿1﻿.﻿8﻿9﻿%</ns0:t>
            </ns0:r>
            <ns0:bookmarkEnd ns0:id="1025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人工工时(h/万盒)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186.67</ns0:t>
            </ns0:r>
            <ns0:bookmarkEnd ns0:id="10255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164.71</ns0:t>
            </ns0:r>
            <ns0:bookmarkEnd ns0:id="10256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1﻿3﻿.﻿3﻿3﻿%</ns0:t>
            </ns0:r>
            <ns0:bookmarkEnd ns0:id="1025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平均小时工资(元/h)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55.71</ns0:t>
            </ns0:r>
            <ns0:bookmarkEnd ns0:id="10260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64.36</ns0:t>
            </ns0:r>
            <ns0:bookmarkEnd ns0:id="10261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-﻿1﻿3﻿.﻿4﻿3﻿%</ns0:t>
            </ns0:r>
            <ns0:bookmarkEnd ns0:id="1026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人工效率(盒/人·日)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428.57</ns0:t>
            </ns0:r>
            <ns0:bookmarkEnd ns0:id="10265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485.71</ns0:t>
            </ns0:r>
            <ns0:bookmarkEnd ns0:id="10266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-﻿1﻿1﻿.﻿7﻿6﻿%</ns0:t>
            </ns0:r>
            <ns0:bookmarkEnd ns0:id="1026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1﻿.﻿0﻿4﻿ ﻿元，比上期变动 -﻿0﻿.﻿0﻿2﻿ ﻿元，占单位成本环比变动 9﻿.﻿5﻿2﻿%。平均小时工资是题包折算口径。每盒人工费用受工时、人员组成及加班影响；需核对工时台账、工资组成与返工记录，不能认定基础薪率上涨。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总成本口径：本期9﻿3﻿6﻿0﻿0﻿.﻿0﻿0﻿元，基期1﻿0﻿8﻿1﻿2﻿0﻿.﻿0﻿0﻿元，环比-﻿1﻿3﻿.﻿4﻿3﻿%。直接人工总额下降可能与产量缩减有关，产量减少后班次与操作定员可能相应减少，人工支出随产量同向下降，该方向可能性较高；单位人工小幅下降可能来自批产规模下工序工时摊薄，工艺文档给出了各工序定员与单盒人工参考，该方向可能性中等。尚不能确认排班实际变化，需核查车间排班与工时台账。</ns0:t>
      </ns0:r>
    </ns0:p>
    <ns0:p>
      <ns0:bookmarkStart ns0:id="31009" ns0:name="YH_SEC_9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  <ns0:bookmarkEnd ns0:id="3100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费用类别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本月(元/盒)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上月(元/盒)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环比变动</ns0:t>
            </ns0:r>
          </ns0:p>
        </ns0:tc>
        <ns0:tc>
          <ns0:tcPr>
            <ns0:tcW ns0:type="dxa" ns0:w="1962"/>
            <ns0:shd ns0:fill="EAF2F5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折旧费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0.54</ns0:t>
            </ns0:r>
            <ns0:bookmarkEnd ns0:id="1027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0.55</ns0:t>
            </ns0:r>
            <ns0:bookmarkEnd ns0:id="1027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-﻿1﻿.﻿8﻿2﻿%</ns0:t>
            </ns0:r>
            <ns0:bookmarkEnd ns0:id="1027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动力费(水电气)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0.41</ns0:t>
            </ns0:r>
            <ns0:bookmarkEnd ns0:id="1028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0.42</ns0:t>
            </ns0:r>
            <ns0:bookmarkEnd ns0:id="10283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-﻿2﻿.﻿3﻿8﻿%</ns0:t>
            </ns0:r>
            <ns0:bookmarkEnd ns0:id="1028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间接人工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0.32</ns0:t>
            </ns0:r>
            <ns0:bookmarkEnd ns0:id="1028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0.34</ns0:t>
            </ns0:r>
            <ns0:bookmarkEnd ns0:id="1028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-﻿5﻿.﻿8﻿8﻿%</ns0:t>
            </ns0:r>
            <ns0:bookmarkEnd ns0:id="1028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检验费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0﻿.﻿0﻿0﻿%</ns0:t>
            </ns0:r>
            <ns0:bookmarkEnd ns0:id="1029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其他制造费用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0﻿.﻿0﻿0﻿%</ns0:t>
            </ns0:r>
            <ns0:bookmarkEnd ns0:id="10299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合计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1.62</ns0:t>
            </ns0:r>
            <ns0:bookmarkEnd ns0:id="10302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1.66</ns0:t>
            </ns0:r>
            <ns0:bookmarkEnd ns0:id="10303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 xml:space="preserve">-﻿2﻿.﻿4﻿1﻿%</ns0:t>
            </ns0:r>
            <ns0:bookmarkEnd ns0:id="10304"/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1﻿.﻿6﻿2﻿ ﻿元，比上期变动 -﻿0﻿.﻿0﻿4﻿ ﻿元，占单位成本环比变动 1﻿9﻿.﻿0﻿5﻿%。按费用台账和分配基数检查变化。维修事件只有在产品、期间及入账范围一致时才用于本期解释；不得将维修金额重复计入总成本。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总成本口径：本期1﻿4﻿5﻿8﻿0﻿0﻿.﻿0﻿0﻿元，基期1﻿6﻿9﻿3﻿2﻿0﻿.﻿0﻿0﻿元，环比-﻿1﻿3﻿.﻿8﻿9﻿%。制造费用总额下降可能与产量缩减有关，固定性费用在产量下降时通常仍需分摊，但能耗类费用随开机批次减少而下降，该方向可能性较高；配方文档提示浓缩与干燥环节能耗在制造费用中占比较高，产量减少可能降低该部分支出，该方向可能性中等。尚不能确认能耗实际变化，需核查能耗计量与费用明细。</ns0:t>
      </ns0:r>
    </ns0:p>
    <ns0:p>
      <ns0:bookmarkStart ns0:id="31010" ns0:name="YH_SEC_10"/>
      <ns0:bookmarkStart ns0:id="10307" ns0:name="YH_c282ade0_307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板蓝根颗粒</ns0:t>
      </ns0:r>
      <ns0:bookmarkEnd ns0:id="10307"/>
      <ns0:bookmarkEnd ns0:id="31010"/>
    </ns0:p>
    <ns0:p>
      <ns0:bookmarkStart ns0:id="31011" ns0:name="YH_SEC_11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  <ns0:bookmarkEnd ns0:id="31011"/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331" ns0:lineRule="auto" ns0:before="80" ns0:after="200"/>
        <ns0:jc ns0:val="center"/>
        <ns0:wordWrap ns0:val="0"/>
      </ns0:pPr>
      <ns0:r>
        <ns0:rPr>
          <ns0:rFonts ns0:ascii="Noto Sans SC" ns0:hAnsi="Noto Sans SC" ns0:eastAsia="Noto Sans SC"/>
          <ns0:b ns0:val="0"/>
          <ns0:color ns0:val="5A6B70"/>
          <ns0:sz ns0:val="17"/>
        </ns0:rPr>
        <ns0:t>图｜板蓝根颗粒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月份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单位成本（元/盒）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产量（盒）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2026-01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7.12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85000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605200.00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2026-02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7.25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72000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522000.00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2026-03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6.96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95000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661200.00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2026-04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7.24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98000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709520.00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7.47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102000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761940.00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7.26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90000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653400.00</ns0:t>
            </ns0:r>
          </ns0:p>
        </ns0:tc>
      </ns0:tr>
    </ns0:tbl>
    <ns0:p>
      <ns0:bookmarkStart ns0:id="31012" ns0:name="YH_SEC_12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  <ns0:bookmarkEnd ns0:id="31012"/>
    </ns0:p>
    <ns0:p>
      <ns0:bookmarkStart ns0:id="10311" ns0:name="YH_c282ade0_311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9﻿0﻿0﻿0﻿0﻿ ﻿盒，总成本 6﻿5﻿3﻿4﻿0﻿0﻿.﻿0﻿0﻿ ﻿元。 相对预算总成本差额 2﻿3﻿4﻿0﻿0﻿.﻿0﻿0﻿ ﻿元，其中产量影响 0﻿.﻿0﻿0﻿ ﻿元，单位成本影响 2﻿3﻿4﻿0﻿0﻿.﻿0﻿0﻿ ﻿元；不能全部归为效率恶化。</ns0:t>
        <ns0:br/>
        <ns0:t xml:space="preserve">直接材料的总额环比变动 -﻿1﻿4﻿.﻿5﻿5﻿%；总额同时受产量影响。</ns0:t>
        <ns0:br/>
        <ns0:t xml:space="preserve">直接人工的总额环比变动 -﻿1﻿3﻿.﻿4﻿3﻿%；总额同时受产量影响。</ns0:t>
        <ns0:br/>
        <ns0:t xml:space="preserve">制造费用的总额环比变动 -﻿1﻿3﻿.﻿8﻿9﻿%；总额同时受产量影响。</ns0:t>
        <ns0:br/>
        <ns0:t xml:space="preserve">归因方向评估（按可能性排序；以下均为待证实假设，供业务判断）：</ns0:t>
        <ns0:br/>
        <ns0:t xml:space="preserve">1. 材料价格传导：板蓝根市场价由上期 32.0 变为 3﻿0﻿.﻿5﻿ ﻿元﻿/﻿k﻿g（亳州中药材市场），与材料单位成本变动方向一致，价格传导可能性较高。证实或证伪：核对采购合同单价与市场价的偏离、以及批次库存结构。</ns0:t>
        <ns0:br/>
        <ns0:t xml:space="preserve">2. 单位耗用变化：投料单耗或提取收率变化会直接改变每盒材料成本，与价格因素叠加。证实或证伪：同批次投料记录与合格产出对照上期，计算单耗变动。</ns0:t>
        <ns0:br/>
        <ns0:t xml:space="preserve">3. 产量分摊：产量环比下降 1﻿2﻿0﻿0﻿0﻿.﻿0﻿0﻿ ﻿盒，折旧、间接人工等偏固定费用按产量分摊时，单位成本会随产量上升。证实或证伪：核对制造费用分配表使用的产量基数是否与实际产量一致。</ns0:t>
      </ns0:r>
      <ns0:bookmarkEnd ns0:id="10311"/>
    </ns0:p>
    <ns0:p>
      <ns0:bookmarkStart ns0:id="31013" ns0:name="YH_SEC_13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  <ns0:bookmarkEnd ns0:id="31013"/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药材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参考月份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市场价格</ns0:t>
            </ns0:r>
          </ns0:p>
        </ns0:tc>
        <ns0:tc>
          <ns0:tcPr>
            <ns0:tcW ns0:type="dxa" ns0:w="245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板蓝根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30.5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蔗糖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6.88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糊精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2026-06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12.3</ns0:t>
            </ns0:r>
          </ns0:p>
        </ns0:tc>
        <ns0:tc>
          <ns0:tcPr>
            <ns0:tcW ns0:type="dxa" ns0:w="245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元/kg</ns0:t>
            </ns0:r>
          </ns0:p>
        </ns0:tc>
      </ns0:tr>
    </ns0:tbl>
    <ns0:p>
      <ns0:bookmarkStart ns0:id="31014" ns0:name="YH_SEC_14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  <ns0:bookmarkEnd ns0:id="31014"/>
    </ns0:p>
    <ns0:p>
      <ns0:bookmarkStart ns0:id="31015" ns0:name="YH_SEC_15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  <ns0:bookmarkEnd ns0:id="31015"/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331" ns0:lineRule="auto" ns0:before="80" ns0:after="200"/>
        <ns0:jc ns0:val="center"/>
        <ns0:wordWrap ns0:val="0"/>
      </ns0:pPr>
      <ns0:r>
        <ns0:rPr>
          <ns0:rFonts ns0:ascii="Noto Sans SC" ns0:hAnsi="Noto Sans SC" ns0:eastAsia="Noto Sans SC"/>
          <ns0:b ns0:val="0"/>
          <ns0:color ns0:val="5A6B70"/>
          <ns0:sz ns0:val="17"/>
        </ns0:rPr>
        <ns0:t>图｜板蓝根颗粒 · 2026-06｜跨厂三要素（中药一厂−中药二厂，以中药二厂为分母）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要素</ns0:t>
            </ns0:r>
          </ns0:p>
        </ns0:tc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中药一厂（元/盒）</ns0:t>
            </ns0:r>
          </ns0:p>
        </ns0:tc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中药二厂（元/盒）</ns0:t>
            </ns0:r>
          </ns0:p>
        </ns0:tc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差异（元/盒）</ns0:t>
            </ns0:r>
          </ns0:p>
        </ns0:tc>
        <ns0:tc>
          <ns0:tcPr>
            <ns0:tcW ns0:type="dxa" ns0:w="196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单位成本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7.26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7.76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-0.50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-6.44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直接材料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4.60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4.80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-0.20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-4.17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直接人工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1.04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1.17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-0.13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-11.11</ns0:t>
            </ns0:r>
          </ns0:p>
        </ns0:tc>
      </ns0:tr>
      <ns0:tr>
        <ns0:trPr>
          <ns0:cantSplit/>
        </ns0:trPr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制造费用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1.62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1.79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-0.17</ns0:t>
            </ns0:r>
          </ns0:p>
        </ns0:tc>
        <ns0:tc>
          <ns0:tcPr>
            <ns0:tcW ns0:type="dxa" ns0:w="196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-9.50</ns0:t>
            </ns0:r>
          </ns0:p>
        </ns0:tc>
      </ns0:tr>
    </ns0:tbl>
    <ns0:p>
      <ns0:bookmarkStart ns0:id="31016" ns0:name="YH_SEC_16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  <ns0:bookmarkEnd ns0:id="31016"/>
    </ns0:p>
    <ns0:p>
      <ns0:bookmarkStart ns0:id="10318" ns0:name="YH_c282ade0_318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-﻿0﻿.﻿2﻿0﻿ ﻿元﻿/﻿盒，占跨厂单位成本总差额 4﻿0﻿.﻿0﻿0﻿%；直接人工差额 -﻿0﻿.﻿1﻿3﻿ ﻿元﻿/﻿盒，占跨厂单位成本总差额 2﻿6﻿.﻿0﻿0﻿%；制造费用差额 -﻿0﻿.﻿1﻿7﻿ ﻿元﻿/﻿盒，占跨厂单位成本总差额 3﻿4﻿.﻿0﻿0﻿%。</ns0:t>
      </ns0:r>
      <ns0:bookmarkEnd ns0:id="10318"/>
    </ns0:p>
    <ns0:p>
      <ns0:bookmarkStart ns0:id="31017" ns0:name="YH_SEC_17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  <ns0:bookmarkEnd ns0:id="31017"/>
    </ns0:p>
    <ns0:p>
      <ns0:bookmarkStart ns0:id="10320" ns0:name="YH_c282ade0_320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板蓝根颗粒同期直接材料单位耗用与采购价明细台账、两厂同期直接人工工时与工资分配记录、两厂同期制造费用能耗与折旧分配明细、两厂同期板蓝根采购合同与入库单价凭证。数据边界：中药二厂明细：合成演示数据：数值按题包二厂成本汇总精确校准（结构比例取自一厂），非真实二厂经营明细。</ns0:t>
      </ns0:r>
      <ns0:bookmarkEnd ns0:id="10320"/>
    </ns0:p>
    <ns0:p>
      <ns0:bookmarkStart ns0:id="31018" ns0:name="YH_SEC_18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  <ns0:bookmarkEnd ns0:id="31018"/>
    </ns0:p>
    <ns0:p>
      <ns0:bookmarkStart ns0:id="31019" ns0:name="YH_SEC_19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  <ns0:bookmarkEnd ns0:id="31019"/>
    </ns0:p>
    <ns0:p>
      <ns0:bookmarkStart ns0:id="10323" ns0:name="YH_c282ade0_323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单位成本环比下降 -﻿2﻿.﻿8﻿1﻿%（本期 7﻿.﻿2﻿6﻿ ﻿元﻿/﻿盒）；改善最大的成本要素：直接材料（单位环比 -﻿3﻿.﻿1﻿6﻿%）；人工成本占比 1﻿4﻿.﻿5﻿% 低于行业中位 1﻿5﻿%（题包静态参考）。</ns0:t>
      </ns0:r>
      <ns0:bookmarkEnd ns0:id="10323"/>
    </ns0:p>
    <ns0:p>
      <ns0:bookmarkStart ns0:id="31020" ns0:name="YH_SEC_20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  <ns0:bookmarkEnd ns0:id="31020"/>
    </ns0:p>
    <ns0:p>
      <ns0:bookmarkStart ns0:id="10325" ns0:name="YH_c282ade0_325"/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原料成本上涨不能直接等同采购价上涨。平均小时工资为题包折算口径，不能据此认定基础薪率上调。跨厂原料差异需核对二厂明细（当前为按汇总校准的合成明细）。</ns0:t>
      </ns0:r>
      <ns0:bookmarkEnd ns0:id="10325"/>
    </ns0:p>
    <ns0:p>
      <ns0:bookmarkStart ns0:id="31021" ns0:name="YH_SEC_21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  <ns0:bookmarkEnd ns0:id="31021"/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问题与核查行动</ns0:t>
            </ns0:r>
          </ns0:p>
        </ns0:tc>
        <ns0:tc>
          <ns0:tcPr>
            <ns0:tcW ns0:type="dxa" ns0:w="3402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1．调取本期与基期板蓝根等原料采购合同与批生产收率记录，区分价格因素与收率因素对直接材料成本的影响</ns0:t>
              <ns0:br/>
              <ns0:t>核查对象：板蓝根采购单价台账与提取收率检验报告</ns0:t>
              <ns0:br/>
              <ns0:t>行动：调取本期与基期板蓝根等原料采购合同与批生产收率记录，区分价格因素与收率因素对直接材料成本的影响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对应月份板蓝根采购合同台账、对应车间期间批生产记录、提取收率检验报告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2．比对本月与上月排班工时台账和产量记录，确认人工总额下降中产量因素与效率因素的占比</ns0:t>
              <ns0:br/>
              <ns0:t>核查对象：车间排班与工时台账</ns0:t>
              <ns0:br/>
              <ns0:t>行动：比对本月与上月排班工时台账和产量记录，确认人工总额下降中产量因素与效率因素的占比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对应月份车间排班工时台账、各工序期间实际产量记录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3．调取制造费用明细与工序能耗计量记录，确认能耗类费用随产量的实际变动</ns0:t>
              <ns0:br/>
              <ns0:t>核查对象：制造费用明细台账与能耗计量记录</ns0:t>
              <ns0:br/>
              <ns0:t>行动：调取制造费用明细与工序能耗计量记录，确认能耗类费用随产量的实际变动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对应月份制造费用明细台账、浓缩与干燥工序能耗计量记录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．跨厂比较方向：中药一厂−中药二厂，以中药二厂为分母。比较限制：总成本对比受产量影响，不能作为单位效率结论；文档原因证据由报告检索流程补充；仅表内数值不能证明因果。组织两厂按同口径交换板蓝根采购单价、提取收率、工序工时与能耗明细，逐项定位单位成本差异来源</ns0:t>
              <ns0:br/>
              <ns0:t>核查对象：两厂同期采购、生产与能耗记录</ns0:t>
              <ns0:br/>
              <ns0:t>行动：组织两厂按同口径交换板蓝根采购单价、提取收率、工序工时与能耗明细，逐项定位单位成本差异来源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两厂对应月份板蓝根采购合同台账、两厂对应车间期间批生产记录、两厂对应月份能耗计量明细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8．跨厂三要素结构可以由汇总数据拆分；差异机制仍需两厂同口径明细支持。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两厂原料明细、两厂工时和费用分配表、可比批次工艺记录</ns0:t>
            </ns0:r>
          </ns0:p>
        </ns0:tc>
      </ns0:tr>
    </ns0:tbl>
    <ns0:p>
      <ns0:bookmarkStart ns0:id="31022" ns0:name="YH_SEC_22"/>
      <ns0:pPr>
        <ns0:keepNext/>
        <ns0:keepLines/>
        <ns0:pageBreakBefore ns0:val="0"/>
        <ns0:widowControl/>
        <ns0:spacing ns0:line="331" ns0:lineRule="auto" ns0:before="240" ns0:after="12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  <ns0:bookmarkEnd ns0:id="31022"/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责任部门／角色</ns0:t>
            </ns0:r>
          </ns0:p>
        </ns0:tc>
        <ns0:tc>
          <ns0:tcPr>
            <ns0:tcW ns0:type="dxa" ns0:w="3269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优先级</ns0:t>
            </ns0:r>
          </ns0:p>
        </ns0:tc>
        <ns0:tc>
          <ns0:tcPr>
            <ns0:tcW ns0:type="dxa" ns0:w="3269"/>
            <ns0:vAlign ns0:val="center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center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9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1．采购部与生产部／待分配（姓名待分配）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月度成本结账后10个工作日内；待确认发送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2．生产部／待分配（姓名待分配）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低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月度成本结账后10个工作日内；待确认发送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3．财务部与设备部／待分配（姓名待分配）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低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月度成本结账后10个工作日内；待确认发送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4．财务部与生产部／待分配（姓名待分配）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月度成本分析完成后15个工作日内；待确认发送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5．采购部、生产部、财务部／待分配（姓名待分配）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高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6．生产部、人力资源部、财务部／待分配（姓名待分配）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7．设备部、财务部、生产部／待分配（姓名待分配）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中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8．两厂财务部、生产部／待分配（姓名待分配）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高</ns0:t>
            </ns0:r>
          </ns0:p>
        </ns0:tc>
        <ns0:tc>
          <ns0:tcPr>
            <ns0:tcW ns0:type="dxa" ns0:w="3269"/>
            <ns0:vAlign ns0:val="center"/>
          </ns0:tcPr>
          <ns0:p>
            <ns0:pPr>
              <ns0:keepNext ns0:val="0"/>
              <ns0:keepLines/>
              <ns0:pageBreakBefore ns0:val="0"/>
              <ns0:widowControl/>
              <ns0:spacing ns0:line="276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9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331" ns0:lineRule="auto" ns0:before="240" ns0:after="12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板蓝根颗粒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正文引用的证据来源（位置可回溯）：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生产工艺文档_中药一厂.pdf · 三、板蓝根颗粒 生产工艺路线 · 第3页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产品配方文档_板蓝根颗粒.pdf · 四、关键工艺参数对成本的影响 · 第2页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产品配方文档_板蓝根颗粒.pdf · 二、处方组成 · 第2页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生产工艺文档_中药一厂.pdf · 三、板蓝根颗粒 生产工艺路线 · 第3页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本期检索到但未被正文直接引用的证据（候选依据 4 条）：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产品配方文档_板蓝根颗粒.pdf · 二、处方组成 · 第1页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GMP法规核心摘要_2010修订版.pdf · 相关章节 · 第3页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产品配方文档_板蓝根颗粒.pdf · 一、产品基本信息 · 第1页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· GMP法规核心摘要_2010修订版.pdf · 相关章节 · 第6页</ns0:t>
      </ns0:r>
    </ns0:p>
    <ns0:p>
      <ns0:pPr>
        <ns0:keepNext ns0:val="0"/>
        <ns0:keepLines/>
        <ns0:pageBreakBefore ns0:val="0"/>
        <ns0:widowControl/>
        <ns0:spacing ns0:line="331" ns0:lineRule="auto" ns0:before="0" ns0:after="140"/>
        <ns0:ind ns0:firstLine="42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footer="56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