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40"/>
        </ns0:rPr>
        <ns0:t>板蓝根颗粒成本分析报告</ns0:t>
      </ns0:r>
    </ns0:p>
    <ns0:p>
      <ns0:pPr>
        <ns0:keepNext ns0:val="0"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>中药一厂 · 2026-05 至 2026-05 · 10g×20袋/盒</ns0:t>
      </ns0:r>
    </ns0:p>
    <ns0:p>
      <ns0:pPr>
        <ns0:keepNext ns0:val="0"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>报告编号：bc4ae85bd50c4d58a51ad92045957472；人工审核：待审核。</ns0:t>
      </ns0:r>
    </ns0:p>
    <ns0:p>
      <ns0:pPr>
        <ns0:keepNext ns0:val="0"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>核心发现：单位成本 7.47 元/盒，总成本 761940.00 元；较上期变动最大的要素为直接材料，每盒变动 0.18 元。建议先核对该要素原始明细，再安排责任部门复核。</ns0:t>
      </ns0:r>
    </ns0:p>
    <ns0:p>
      <ns0:pPr>
        <ns0:keepNext ns0:val="0"/>
        <ns0:keepLines ns0:val="0"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>目录  一、封面与基本信息 1；二、总成本概览 1；三、成本要素明细分析 2；四、重点产品专项分析 3；五、对标分析 3；六、总结与建议 4。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CJK SC" ns0:hAnsi="Noto Sans CJK SC" ns0:eastAsia="Noto Sans CJK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月度成本分析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2026-05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板蓝根颗粒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10g×20袋/盒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102000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CJK SC" ns0:hAnsi="Noto Sans CJK SC" ns0:eastAsia="Noto Sans CJK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CJK SC" ns0:hAnsi="Noto Sans CJK SC" ns0:eastAsia="Noto Sans CJK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644"/>
        <ns0:gridCol ns0:w="1162"/>
        <ns0:gridCol ns0:w="1162"/>
        <ns0:gridCol ns0:w="1162"/>
        <ns0:gridCol ns0:w="1162"/>
        <ns0:gridCol ns0:w="1162"/>
        <ns0:gridCol ns0:w="1162"/>
        <ns0:gridCol ns0:w="1162"/>
      </ns0:tblGrid>
      <ns0:tr>
        <ns0:trPr>
          <ns0:cantSplit/>
          <ns0:tblHeader/>
        </ns0:trPr>
        <ns0:tc>
          <ns0:tcPr>
            <ns0:tcW ns0:type="dxa" ns0:w="1644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1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1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1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1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1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1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1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64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102000</ns0:t>
            </ns0:r>
            <ns0:bookmarkEnd ns0:id="10162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98000</ns0:t>
            </ns0:r>
            <ns0:bookmarkEnd ns0:id="10163"/>
          </ns0:p>
        </ns0:tc>
        <ns0:tc>
          <ns0:tcPr>
            <ns0:tcW ns0:type="dxa" ns0:w="11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bookmarkStart ns0:id="10164" ns0:name="YH_c282ade0_164"/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 xml:space="preserve">4.08%</ns0:t>
            </ns0:r>
            <ns0:bookmarkEnd ns0:id="10164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96900</ns0:t>
            </ns0:r>
            <ns0:bookmarkEnd ns0:id="10165"/>
          </ns0:p>
        </ns0:tc>
        <ns0:tc>
          <ns0:tcPr>
            <ns0:tcW ns0:type="dxa" ns0:w="11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bookmarkStart ns0:id="10166" ns0:name="YH_c282ade0_166"/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 xml:space="preserve">5.26%</ns0:t>
            </ns0:r>
            <ns0:bookmarkEnd ns0:id="10166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90000</ns0:t>
            </ns0:r>
            <ns0:bookmarkEnd ns0:id="10167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13.33%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64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7.47</ns0:t>
            </ns0:r>
            <ns0:bookmarkEnd ns0:id="10170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7.24</ns0:t>
            </ns0:r>
            <ns0:bookmarkEnd ns0:id="10171"/>
          </ns0:p>
        </ns0:tc>
        <ns0:tc>
          <ns0:tcPr>
            <ns0:tcW ns0:type="dxa" ns0:w="11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bookmarkStart ns0:id="10172" ns0:name="YH_c282ade0_172"/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 xml:space="preserve">3.18%</ns0:t>
            </ns0:r>
            <ns0:bookmarkEnd ns0:id="10172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7.10</ns0:t>
            </ns0:r>
            <ns0:bookmarkEnd ns0:id="10173"/>
          </ns0:p>
        </ns0:tc>
        <ns0:tc>
          <ns0:tcPr>
            <ns0:tcW ns0:type="dxa" ns0:w="11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bookmarkStart ns0:id="10174" ns0:name="YH_c282ade0_174"/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 xml:space="preserve">5.21%</ns0:t>
            </ns0:r>
            <ns0:bookmarkEnd ns0:id="10174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7.00</ns0:t>
            </ns0:r>
            <ns0:bookmarkEnd ns0:id="10175"/>
          </ns0:p>
        </ns0:tc>
        <ns0:tc>
          <ns0:tcPr>
            <ns0:tcW ns0:type="dxa" ns0:w="11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bookmarkStart ns0:id="10176" ns0:name="YH_c282ade0_176"/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 xml:space="preserve">6.71%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64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761940.00</ns0:t>
            </ns0:r>
            <ns0:bookmarkEnd ns0:id="10178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709520.00</ns0:t>
            </ns0:r>
            <ns0:bookmarkEnd ns0:id="10179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7.39%</ns0:t>
            </ns0:r>
            <ns0:bookmarkEnd ns0:id="10180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687990.00</ns0:t>
            </ns0:r>
            <ns0:bookmarkEnd ns0:id="10181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10.75%</ns0:t>
            </ns0:r>
            <ns0:bookmarkEnd ns0:id="10182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630000.00</ns0:t>
            </ns0:r>
            <ns0:bookmarkEnd ns0:id="10183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20.94%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64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1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bookmarkStart ns0:id="10186" ns0:name="YH_c282ade0_186"/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 xml:space="preserve">4.75</ns0:t>
            </ns0:r>
            <ns0:bookmarkEnd ns0:id="10186"/>
          </ns0:p>
        </ns0:tc>
        <ns0:tc>
          <ns0:tcPr>
            <ns0:tcW ns0:type="dxa" ns0:w="11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bookmarkStart ns0:id="10187" ns0:name="YH_c282ade0_187"/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 xml:space="preserve">4.57</ns0:t>
            </ns0:r>
            <ns0:bookmarkEnd ns0:id="10187"/>
          </ns0:p>
        </ns0:tc>
        <ns0:tc>
          <ns0:tcPr>
            <ns0:tcW ns0:type="dxa" ns0:w="11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bookmarkStart ns0:id="10188" ns0:name="YH_c282ade0_188"/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 xml:space="preserve">3.94%</ns0:t>
            </ns0:r>
            <ns0:bookmarkEnd ns0:id="10188"/>
          </ns0:p>
        </ns0:tc>
        <ns0:tc>
          <ns0:tcPr>
            <ns0:tcW ns0:type="dxa" ns0:w="11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bookmarkStart ns0:id="22109" ns0:name="YH_reader_去年材料成本"/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 xml:space="preserve">4.42</ns0:t>
            </ns0:r>
            <ns0:bookmarkEnd ns0:id="22109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7.47%</ns0:t>
            </ns0:r>
            <ns0:bookmarkEnd ns0:id="22110"/>
          </ns0:p>
        </ns0:tc>
        <ns0:tc>
          <ns0:tcPr>
            <ns0:tcW ns0:type="dxa" ns0:w="11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bookmarkStart ns0:id="10191" ns0:name="YH_c282ade0_191"/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 xml:space="preserve">4.38</ns0:t>
            </ns0:r>
            <ns0:bookmarkEnd ns0:id="10191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8.45%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64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1.06</ns0:t>
            </ns0:r>
            <ns0:bookmarkEnd ns0:id="10194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1.04</ns0:t>
            </ns0:r>
            <ns0:bookmarkEnd ns0:id="10195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1.92%</ns0:t>
            </ns0:r>
            <ns0:bookmarkEnd ns0:id="10196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1.04</ns0:t>
            </ns0:r>
            <ns0:bookmarkEnd ns0:id="22111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1.92%</ns0:t>
            </ns0:r>
            <ns0:bookmarkEnd ns0:id="22112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1.02</ns0:t>
            </ns0:r>
            <ns0:bookmarkEnd ns0:id="10199"/>
          </ns0:p>
        </ns0:tc>
        <ns0:tc>
          <ns0:tcPr>
            <ns0:tcW ns0:type="dxa" ns0:w="11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bookmarkStart ns0:id="10200" ns0:name="YH_c282ade0_200"/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 xml:space="preserve">3.92%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64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1.66</ns0:t>
            </ns0:r>
            <ns0:bookmarkEnd ns0:id="10202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1.63</ns0:t>
            </ns0:r>
            <ns0:bookmarkEnd ns0:id="10203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1.84%</ns0:t>
            </ns0:r>
            <ns0:bookmarkEnd ns0:id="10204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1.64</ns0:t>
            </ns0:r>
            <ns0:bookmarkEnd ns0:id="22113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1.22%</ns0:t>
            </ns0:r>
            <ns0:bookmarkEnd ns0:id="22114"/>
          </ns0:p>
        </ns0:tc>
        <ns0:tc>
          <ns0:tcPr>
            <ns0:tcW ns0:type="dxa" ns0:w="11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1.60</ns0:t>
            </ns0:r>
            <ns0:bookmarkEnd ns0:id="10207"/>
          </ns0:p>
        </ns0:tc>
        <ns0:tc>
          <ns0:tcPr>
            <ns0:tcW ns0:type="dxa" ns0:w="11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bookmarkStart ns0:id="10208" ns0:name="YH_c282ade0_208"/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 xml:space="preserve">3.75%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CJK SC" ns0:hAnsi="Noto Sans CJK SC" ns0:eastAsia="Noto Sans CJK SC"/>
          <ns0:b/>
          <ns0:color ns0:val="143D50"/>
          <ns0:sz ns0:val="23"/>
        </ns0:rPr>
        <ns0:t>2.2 成本结构</ns0:t>
      </ns0:r>
    </ns0:p>
    <ns0:p>
      <ns0:pPr>
        <ns0:keepNext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>板蓝根颗粒 · 中药一厂 · 2026-05｜上期至本期单位成本变动</ns0:t>
      </ns0:r>
    </ns0:p>
    <ns0:p>
      <ns0:pPr>
        <ns0:keepNext ns0:val="0"/>
        <ns0:keepLines ns0:val="0"/>
        <ns0:pageBreakBefore ns0:val="0"/>
        <ns0:widowControl/>
        <ns0:spacing ns0:line="20" ns0:lineRule="exact" ns0:before="0" ns0:after="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>板蓝根颗粒 · 中药一厂 · 2026-05｜三要素单位成本与占比</ns0:t>
      </ns0:r>
    </ns0:p>
    <ns0:p>
      <ns0:pPr>
        <ns0:keepNext ns0:val="0"/>
        <ns0:keepLines ns0:val="0"/>
        <ns0:pageBreakBefore ns0:val="0"/>
        <ns0:widowControl/>
        <ns0:spacing ns0:line="20" ns0:lineRule="exact" ns0:before="0" ns0:after="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67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67665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bookmarkStart ns0:id="10217" ns0:name="YH_c282ade0_217"/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 xml:space="preserve">4.75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63.59%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0.18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78.26%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1.06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14.19%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0.02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8.70%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1.66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22.22%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0.03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13.04%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7.47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0.23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CJK SC" ns0:hAnsi="Noto Sans CJK SC" ns0:eastAsia="Noto Sans CJK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CJK SC" ns0:hAnsi="Noto Sans CJK SC" ns0:eastAsia="Noto Sans CJK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CJK SC" ns0:hAnsi="Noto Sans CJK SC" ns0:eastAsia="Noto Sans CJK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 ns0:val="0"/>
        <ns0:pageBreakBefore ns0:val="0"/>
        <ns0:widowControl/>
        <ns0:spacing ns0:line="20" ns0:lineRule="exact" ns0:before="0" ns0:after="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板蓝根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>3.05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311100.0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0.58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59160.0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糊精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0.37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37740.0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包装材料(复合膜袋+纸盒)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0.75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76500.0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CJK SC" ns0:hAnsi="Noto Sans CJK SC" ns0:eastAsia="Noto Sans CJK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 xml:space="preserve">直接材料每盒 4.75 元，比上期变动 0.18 元，占单位成本变动的 78.26%。
板蓝根：2.90 → 3.05 元/盒，变动 0.15 元/盒，占材料增量 83.33%；包装材料(复合膜袋+纸盒)：0.74 → 0.75 元/盒，变动 0.01 元/盒，占材料增量 5.56%；糊精：0.36 → 0.37 元/盒，变动 0.01 元/盒，占材料增量 5.56%；蔗糖：0.57 → 0.58 元/盒，变动 0.01 元/盒，占材料增量 5.56%。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CJK SC" ns0:hAnsi="Noto Sans CJK SC" ns0:eastAsia="Noto Sans CJK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1.06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1.04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1.92%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164.71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179.59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-8.29%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64.36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57.91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11.13%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485.71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445.45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9.04%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>直接人工每盒 1.06 元，比上期变动 0.02 元，占单位成本环比变动 8.70%。平均小时工资是题包折算口径。每盒人工费用受工时、人员组成及加班影响；需核对工时台账、工资组成与返工记录，不能认定基础薪率上涨。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CJK SC" ns0:hAnsi="Noto Sans CJK SC" ns0:eastAsia="Noto Sans CJK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0.55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0.54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1.85%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0.42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0.41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bookmarkStart ns0:id="10284" ns0:name="YH_c282ade0_284"/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 xml:space="preserve">2.44%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0.34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0.33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bookmarkStart ns0:id="10289" ns0:name="YH_c282ade0_289"/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 xml:space="preserve">3.03%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0.18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0.18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0.00%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0.17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0.17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0.00%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1.66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1.63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 xml:space="preserve">1.84%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>制造费用每盒 1.66 元，比上期变动 0.03 元，占单位成本环比变动 13.04%。按费用台账和分配基数检查变化。维修事件只有在产品、期间及入账范围一致时才用于本期解释；不得将维修金额重复计入总成本。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CJK SC" ns0:hAnsi="Noto Sans CJK SC" ns0:eastAsia="Noto Sans CJK SC"/>
          <ns0:b/>
          <ns0:color ns0:val="143D50"/>
          <ns0:sz ns0:val="28"/>
        </ns0:rPr>
        <ns0:t xml:space="preserve">四、重点产品专项分析 — 板蓝根颗粒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CJK SC" ns0:hAnsi="Noto Sans CJK SC" ns0:eastAsia="Noto Sans CJK SC"/>
          <ns0:b/>
          <ns0:color ns0:val="143D50"/>
          <ns0:sz ns0:val="23"/>
        </ns0:rPr>
        <ns0:t>4.1 可用期间单位成本趋势（截至 2026-05，共 5 个月）</ns0:t>
      </ns0:r>
    </ns0:p>
    <ns0:p>
      <ns0:bookmarkStart ns0:id="10309" ns0:name="YH_c282ade0_309"/>
      <ns0:pPr>
        <ns0:keepNext/>
        <ns0:keepLines ns0:val="0"/>
        <ns0:pageBreakBefore ns0:val="0"/>
        <ns0:widowControl/>
        <ns0:spacing ns0:line="20" ns0:lineRule="exact" ns0:before="0" ns0:after="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>板蓝根颗粒 · 中药一厂 · 2026-05｜单位成本趋势（纵轴范围见刻度）</ns0:t>
      </ns0:r>
    </ns0:p>
    <ns0:p>
      <ns0:pPr>
        <ns0:keepNext ns0:val="0"/>
        <ns0:keepLines ns0:val="0"/>
        <ns0:pageBreakBefore ns0:val="0"/>
        <ns0:widowControl/>
        <ns0:spacing ns0:line="20" ns0:lineRule="exact" ns0:before="0" ns0:after="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88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88434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7.12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85000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605200.0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7.25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72000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522000.0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>6.96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95000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661200.0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7.24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98000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709520.0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7.47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102000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761940.0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CJK SC" ns0:hAnsi="Noto Sans CJK SC" ns0:eastAsia="Noto Sans CJK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 xml:space="preserve">本期产量 102000 盒，总成本 761940.00 元。 相对预算总成本差额 131940.00 元，其中产量影响 84000.00 元，单位成本影响 47940.00 元；不能全部归为效率恶化。
本期三要素没有超过既定阈值的告警；仍应核对主要变动项。
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CJK SC" ns0:hAnsi="Noto Sans CJK SC" ns0:eastAsia="Noto Sans CJK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 ns0:val="0"/>
        <ns0:pageBreakBefore ns0:val="0"/>
        <ns0:widowControl/>
        <ns0:spacing ns0:line="20" ns0:lineRule="exact" ns0:before="0" ns0:after="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板蓝根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32.0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糊精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12.5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CJK SC" ns0:hAnsi="Noto Sans CJK SC" ns0:eastAsia="Noto Sans CJK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CJK SC" ns0:hAnsi="Noto Sans CJK SC" ns0:eastAsia="Noto Sans CJK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 ns0:val="0"/>
        <ns0:pageBreakBefore ns0:val="0"/>
        <ns0:widowControl/>
        <ns0:spacing ns0:line="20" ns0:lineRule="exact" ns0:before="0" ns0:after="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>板蓝根颗粒 · 2026-05｜跨厂三要素（差额＝二厂−一厂）</ns0:t>
      </ns0:r>
    </ns0:p>
    <ns0:p>
      <ns0:pPr>
        <ns0:keepNext ns0:val="0"/>
        <ns0:keepLines ns0:val="0"/>
        <ns0:pageBreakBefore ns0:val="0"/>
        <ns0:widowControl/>
        <ns0:spacing ns0:line="20" ns0:lineRule="exact" ns0:before="0" ns0:after="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61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6175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7.97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7.47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0.50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>6.69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>4.95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>4.75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20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143D50"/>
                <ns0:sz ns0:val="18"/>
              </ns0:rPr>
              <ns0:t>4.21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1.19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1.06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0.13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12.26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1.83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1.66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0.17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10.24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CJK SC" ns0:hAnsi="Noto Sans CJK SC" ns0:eastAsia="Noto Sans CJK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 xml:space="preserve">二厂减一厂，差异率以一厂为基数。直接材料差额 0.20 元/盒，占跨厂单位成本总差额 40.00%；直接人工差额 0.13 元/盒，占跨厂单位成本总差额 26.00%；制造费用差额 0.17 元/盒，占跨厂单位成本总差额 34.00%。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CJK SC" ns0:hAnsi="Noto Sans CJK SC" ns0:eastAsia="Noto Sans CJK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 xml:space="preserve">三要素差额用于定位核查重点。二厂缺原料、工时及费用明细，尚不能分解到二厂单项原料；请两厂成本会计核对同规格的领料、工时与费用分摊记录。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CJK SC" ns0:hAnsi="Noto Sans CJK SC" ns0:eastAsia="Noto Sans CJK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CJK SC" ns0:hAnsi="Noto Sans CJK SC" ns0:eastAsia="Noto Sans CJK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 xml:space="preserve">本期单位成本 7.47 元/盒，产量 102000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CJK SC" ns0:hAnsi="Noto Sans CJK SC" ns0:eastAsia="Noto Sans CJK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CJK SC" ns0:hAnsi="Noto Sans CJK SC" ns0:eastAsia="Noto Sans CJK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 ns0:val="0"/>
        <ns0:pageBreakBefore ns0:val="0"/>
        <ns0:widowControl/>
        <ns0:spacing ns0:line="20" ns0:lineRule="exact" ns0:before="0" ns0:after="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核查对象：板蓝根本期与上期采购和批次耗用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CJK SC" ns0:hAnsi="Noto Sans CJK SC" ns0:eastAsia="Noto Sans CJK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 ns0:val="0"/>
        <ns0:pageBreakBefore ns0:val="0"/>
        <ns0:widowControl/>
        <ns0:spacing ns0:line="20" ns0:lineRule="exact" ns0:before="0" ns0:after="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 ns0:val="0"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CJK SC" ns0:hAnsi="Noto Sans CJK SC" ns0:eastAsia="Noto Sans CJK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CJK SC" ns0:hAnsi="Noto Sans CJK SC" ns0:eastAsia="Noto Sans CJK SC"/>
          <ns0:b/>
          <ns0:color ns0:val="143D50"/>
          <ns0:sz ns0:val="23"/>
        </ns0:rPr>
        <ns0:t>来源与审核说明</ns0:t>
      </ns0:r>
    </ns0:p>
    <ns0:p>
      <ns0:pPr>
        <ns0:keepNext ns0:val="0"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>数据来源：成本汇总表、原材料明细表、人工与制造费用表 · 板蓝根颗粒 · 中药一厂 · 2026-05。金额以元、单位成本以元/盒计；季度按产量加权。</ns0:t>
      </ns0:r>
    </ns0:p>
    <ns0:p>
      <ns0:pPr>
        <ns0:keepNext ns0:val="0"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>产品配方文档_板蓝根颗粒.pdf · 四、关键工艺参数对成本的影响 · 第2页</ns0:t>
      </ns0:r>
    </ns0:p>
    <ns0:p>
      <ns0:pPr>
        <ns0:keepNext ns0:val="0"/>
        <ns0:keepLines ns0:val="0"/>
        <ns0:pageBreakBefore ns0:val="0"/>
        <ns0:widowControl/>
        <ns0:spacing ns0:line="276" ns0:lineRule="auto" ns0:before="0" ns0:after="100"/>
      </ns0:pPr>
      <ns0:r>
        <ns0:rPr>
          <ns0:rFonts ns0:ascii="Noto Sans CJK SC" ns0:hAnsi="Noto Sans CJK SC" ns0:eastAsia="Noto Sans CJK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CJK SC" ns0:hAnsi="Noto Sans CJK SC" ns0:eastAsia="Noto Sans CJK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CJK SC" ns0:hAnsi="Noto Sans CJK SC" ns0:eastAsia="Noto Sans CJK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CJK SC" ns0:hAnsi="Noto Sans CJK SC" ns0:eastAsia="Noto Sans CJK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CJK SC" ns0:hAnsi="Noto Sans CJK SC" ns0:eastAsia="Noto Sans CJK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