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10g×20袋/盒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报告编号：253ea839b5094d6ba297cf48ee00d61a；人工审核：待审核。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7.47 元/盒，总成本 761940.00 元；较上期变动最大的要素为直接材料，每盒变动 0.18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10g×20袋/盒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4.08%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13.33%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3.18%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5.21%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6.71%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7.39%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10.75%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20.94%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3.94%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3.92%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1.22%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3.75%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49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30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63.59%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78.26%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14.19%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22.22%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13.04%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4.75 元，比上期变动 0.18 元，占单位成本变动的 78.26%。
板蓝根：2.90 → 3.05 元/盒，变动 0.15 元/盒，占材料增量 83.33%；包装材料(复合膜袋+纸盒)：0.74 → 0.75 元/盒，变动 0.01 元/盒，占材料增量 5.56%；糊精：0.36 → 0.37 元/盒，变动 0.01 元/盒，占材料增量 5.56%；蔗糖：0.57 → 0.58 元/盒，变动 0.01 元/盒，占材料增量 5.56%。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本期中药一厂板蓝根颗粒板蓝根单位材料成本环比上升，可能与水提取环节收率波动有关：配方文档指出提取参数影响板蓝根单耗。待核查本期提取收率记录与物料平衡数据，以确认是否为收率下降所致。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-8.29%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9.04%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1.06 元，比上期变动 0.02 元，占单位成本环比变动 8.70%。平均小时工资是题包折算口径。每盒人工费用受工时、人员组成及加班影响；需核对工时台账、工资组成与返工记录，不能认定基础薪率上涨。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1.85%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2.44%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1.66 元，比上期变动 0.03 元，占单位成本环比变动 13.04%。按费用台账和分配基数检查变化。维修事件只有在产品、期间及入账范围一致时才用于本期解释；不得将维修金额重复计入总成本。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605200.00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522000.00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661200.00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709520.00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761940.00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102000 盒，总成本 761940.00 元。 相对预算总成本差额 131940.00 元，其中产量影响 84000.00 元，单位成本影响 47940.00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4.21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12.26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10.24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0.20 元/盒，占跨厂单位成本总差额 40.00%；直接人工差额 0.13 元/盒，占跨厂单位成本总差额 26.00%；制造费用差额 0.17 元/盒，占跨厂单位成本总差额 34.00%。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两厂执行同一板蓝根颗粒规格与标准，但单位成本存在跨厂差异，直接人工与制造费用合计占差额较大比例。差异可能源于两厂批量规模与设备运行效率不同；待核查两厂产量、批次数与工时记录，以定位差异机制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7.47 元/盒，产量 102000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5．针对直接材料环比上升，建议将水提取收率与板蓝根单耗纳入月度核查，并复核浓缩与干燥能耗对制造费用的影响。</ns0:t>
              <ns0:br/>
              <ns0:t>核查对象：本期板蓝根单耗与收率台账、采购价格记录、浓缩及干燥能耗分摊表</ns0:t>
              <ns0:br/>
              <ns0:t>行动：由生产部门按月核查水提取收率与物料平衡，并结合采购部门比对板蓝根采购价格变动；任何工艺或GMP相关调整须经质量部门人工批准后实施。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本期各批次收率与物料平衡记录、本期板蓝根采购发票或入库单价明细、本期制造费用能耗分摊明细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下一成本核算周期（月度）完成首轮核查；待确认发送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一、产品基本信息 · 第1页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GMP法规核心摘要_2010修订版.pdf · 相关章节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三、板蓝根颗粒 生产工艺路线 · 第3页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