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报告编号：64449fad03db4226b5c5f926e720b817；人工审核：待审核。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11.02 元/盒，总成本 1796180.00 元；较上期变动最大的要素为直接材料，每盒变动 0.34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去年同期季度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20.74%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5.23%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8.67%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3.16%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3.96%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24.55%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9.22%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12.97%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5.00%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5.32%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5.49%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1.34%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0.71%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0.86%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65.10%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101.26%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13.71%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21.19%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-0.56%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7.17 元，比上期变动 0.34 元，占单位成本变动的 101.26%。
金银花：3.21 → 3.42 元/盒，变动 0.21 元/盒，占材料增量 62.20%；黄芩提取物：2.10 → 2.18 元/盒，变动 0.08 元/盒，占材料增量 23.16%；包装材料(盒+说明书)：0.85 → 0.87 元/盒，变动 0.02 元/盒，占材料增量 6.31%；蔗糖：0.45 → 0.47 元/盒，变动 0.02 元/盒，占材料增量 6.31%。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-10.16%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11.31%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1.51 元，比上期变动 -0.0024 元，占单位成本环比变动 -0.70%。平均小时工资是题包折算口径。每盒人工费用受工时、人员组成及加班影响；需核对工时台账、工资组成与返工记录，不能认定基础薪率上涨。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-0.15%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3.01%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-1.23%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2.34 元，比上期变动 -0.0019 元，占单位成本环比变动 -0.56%。按费用台账和分配基数检查变化。维修事件只有在产品、期间及入账范围一致时才用于本期解释；不得将维修金额重复计入总成本。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163000 盒，总成本 1796180.00 元。 相对预算总成本差额 206180.00 元，其中产量影响 137800.00 元，单位成本影响 68380.00 元；不能全部归为效率恶化。
直接材料的总额环比变动 26.77%；总额同时受产量影响。
直接人工的总额环比变动 20.55%；总额同时受产量影响。
制造费用的总额环比变动 20.64%；总额同时受产量影响。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13.24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8.56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-1.60%；直接人工差额 0.20 元/盒，占跨厂单位成本总差额 50.81%；制造费用差额 0.20 元/盒，占跨厂单位成本总差额 50.79%。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对比显示中药二厂单位成本高于本厂0.39元/盒（3.57%），其中直接人工与制造费用各贡献约50.81%和50.79%，直接材料基本持平。可能机制是两厂浓缩蒸汽耗量与人工配置差异所致，待核查两厂制造费用分摊口径与人工工时结构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11.02 元/盒，产量 163000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5．建议核查金银花与黄芩提取物采购价格及水提收率，确认材料成本上升归因。</ns0:t>
              <ns0:br/>
              <ns0:t>核查对象：金银花、黄芩提取物采购单价及水提收率</ns0:t>
              <ns0:br/>
              <ns0:t>行动：请采购部门提供本期金银花、黄芩提取物采购价格台账，生产部门提供水提工序收率批次记录，比对工艺标准收率判断是否存在收率下降。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本期采购价格台账、水提工序收率批次记录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5．采购部、生产部／待分配（姓名待分配）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本成本分析期内完成核查；待确认发送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产品配方文档_银黄口服液.pdf · 一、产品基本信息 · 第1页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