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报告编号：811a6a5aae694834b796509be4a9304f；人工审核：待审核。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11.21 元/盒，总成本 650180.00 元；较上期变动最大的要素为直接材料，每盒变动 0.22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5.45%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55100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10.90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2.84%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10.71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4.67%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5.75%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650180.00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599500.00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590121.00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10.18%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22.68%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7.08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6.84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6.73%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0.85%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3.48%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65.12%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0.22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70.97%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13.65%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9.68%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21.23%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0.06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19.35%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0.31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7.30 元，比上期变动 0.22 元，占单位成本变动的 70.97%。
金银花：3.35 → 3.50 元/盒，变动 0.15 元/盒，占材料增量 68.18%；黄芩提取物：2.15 → 2.20 元/盒，变动 0.05 元/盒，占材料增量 22.73%；包装材料(盒+说明书)：0.87 → 0.88 元/盒，变动 0.01 元/盒，占材料增量 4.55%；蔗糖：0.47 → 0.48 元/盒，变动 0.01 元/盒，占材料增量 4.55%。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2026-05 银黄口服液直接材料环比上升主要由金银花单位成本上涨驱动，或与水提工序水提 加水量10倍、提取2次、各 提取收率≥85% 收率每降1个百分点，材料成本相关收率下降有关；待核查本期提取收率与金银花采购单价。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231.72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256.00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-9.48%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66.03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58.59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12.69%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345.24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312.50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10.48%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1.53 元，比上期变动 0.03 元，占单位成本环比变动 9.68%。平均小时工资是题包折算口径。每盒人工费用受工时、人员组成及加班影响；需核对工时台账、工资组成与返工记录，不能认定基础薪率上涨。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0.83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0.56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3.70%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0.26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2.38 元，比上期变动 0.06 元，占单位成本环比变动 19.35%。按费用台账和分配基数检查变化。维修事件只有在产品、期间及入账范围一致时才用于本期解释；不得将维修金额重复计入总成本。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58000 盒，总成本 650180.00 元。 相对预算总成本差额 120180.00 元，其中产量影响 84800.00 元，单位成本影响 35380.00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138.0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11.60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3.48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13.07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8.40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-2.56%；直接人工差额 0.20 元/盒，占跨厂单位成本总差额 51.28%；制造费用差额 0.20 元/盒，占跨厂单位成本总差额 51.28%。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11.21 元/盒，产量 58000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