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2026-04 至 2026-06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报告编号：83901d42b41d4f0d95d9ad34cc9d9711；人工审核：待审核。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11.02 元/盒，总成本 1796180.00 元；较上期变动最大的要素为直接材料，每盒变动 0.34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季度成本分析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分析期间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2026-04 至 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本季度产量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去年同期季度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20.74%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154900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5.23%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8.67%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10.68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3.16%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3.96%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1796180.00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1442120.00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24.55%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1644580.00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9.22%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1590000.00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12.97%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6.83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5.00%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6.81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5.32%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5.49%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1.49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1.34%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0.71%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0.86%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65.10%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101.26%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13.71%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-0.0024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21.19%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-0.0019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-0.56%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3.35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184250.0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118250.0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25850.0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170000.0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109000.0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43000.0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7.17 元，比上期变动 0.34 元，占单位成本变动的 101.26%。
金银花：3.21 → 3.42 元/盒，变动 0.21 元/盒，占材料增量 62.20%；黄芩提取物：2.10 → 2.18 元/盒，变动 0.08 元/盒，占材料增量 23.16%；包装材料(盒+说明书)：0.85 → 0.87 元/盒，变动 0.02 元/盒，占材料增量 6.31%；蔗糖：0.45 → 0.47 元/盒，变动 0.02 元/盒，占材料增量 6.31%。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251.29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279.70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-10.16%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60.12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54.09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318.36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286.02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11.31%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1.51 元，比上期变动 -0.0024 元，占单位成本环比变动 -0.70%。平均小时工资是题包折算口径。每盒人工费用受工时、人员组成及加班影响；需核对工时台账、工资组成与返工记录，不能认定基础薪率上涨。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0.82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-0.15%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3.01%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-1.23%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2.34 元，比上期变动 -0.0019 元，占单位成本环比变动 -0.56%。按费用台账和分配基数检查变化。维修事件只有在产品、期间及入账范围一致时才用于本期解释；不得将维修金额重复计入总成本。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50000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546500.00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163000 盒，总成本 1796180.00 元。 相对预算总成本差额 206180.00 元，其中产量影响 137800.00 元，单位成本影响 68380.00 元；不能全部归为效率恶化。
直接材料的总额环比变动 26.77%；总额同时受产量影响。
直接人工的总额环比变动 20.55%；总额同时受产量影响。
制造费用的总额环比变动 20.64%；总额同时受产量影响。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2026-04 至 2026-06｜跨厂三要素（差额＝二厂−一厂）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11.41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13.24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8.56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-1.60%；直接人工差额 0.20 元/盒，占跨厂单位成本总差额 50.81%；制造费用差额 0.20 元/盒，占跨厂单位成本总差额 50.79%。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本季度成本管理亮点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11.02 元/盒，产量 163000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2026-06。金额以元、单位成本以元/盒计；季度按产量加权。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