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至 2026-03 · 0.3g×60粒/盒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报告编号：be38a58082494d328a7b33f462c5378a；人工审核：待审核。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17.02 元/盒，总成本 595700.00 元；较上期变动最大的要素为直接材料，每盒变动 -0.36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0.3g×60粒/盒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25.00%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5.11%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-3.30%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20.88%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5.73%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-2.91%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0.50%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-0.91%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0.99%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-0.49%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0.68%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1.36%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70.45%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62.07%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12.04%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17.24%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17.51%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20.69%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11.99 元，比上期变动 -0.36 元，占单位成本变动的 62.07%。
山茱萸：2.85 → 2.75 元/盒，变动 -0.10 元/盒，占材料增量 27.78%；熟地黄：3.55 → 3.45 元/盒，变动 -0.10 元/盒，占材料增量 27.78%；山药：1.52 → 1.48 元/盒，变动 -0.04 元/盒，占材料增量 11.11%；茯苓：1.22 → 1.18 元/盒，变动 -0.04 元/盒，占材料增量 11.11%。 单位消耗成本同时受价格和实耗影响；需采购入库单、批次领退料及合格产出记录，才能分别核验价格与耗量。
假设：两厂六味地黄胶囊直接材料单位成本差异（0.63元/盒）可能来自山茱萸、熟地黄等中药材的采购价格或单位消耗差异，也可能涉及空胶囊、包装材料等原辅料与包装材料渠道不同；现有数据仅有单位成本汇总，缺少分厂采购价与消耗量，无法证明因果。
若装量偏差类设备问题复发，可能导致物料单耗上升；建议依据第八十条建立设备预防性维护计划并留存维护和维修记录，以防止单次事件影响月度材料成本。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10.00%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-13.32%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-9.09%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2.05 元，比上期变动 -0.10 元，占单位成本环比变动 17.24%。平均小时工资是题包折算口径。每盒人工费用受工时、人员组成及加班影响；需核对工时台账、工资组成与返工记录，不能认定基础薪率上涨。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-5.41%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-3.39%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-2.86%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2.98 元，比上期变动 -0.12 元，占单位成本环比变动 20.69%。按费用台账和分配基数检查变化。维修事件只有在产品、期间及入账范围一致时才用于本期解释；不得将维修金额重复计入总成本。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35000 盒，总成本 595700.00 元。 相对预算总成本差额 -2800.00 元，其中产量影响 0.00 元，单位成本影响 -2800.00 元；不能全部归为效率恶化。
直接材料的总额环比变动 21.36%；总额同时受产量影响。
直接人工的总额环比变动 19.19%；总额同时受产量影响。
制造费用的总额环比变动 20.16%；总额同时受产量影响。
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5.25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10.07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0.63 元/盒，占跨厂单位成本总差额 54.31%；直接人工差额 0.23 元/盒，占跨厂单位成本总差额 19.83%；制造费用差额 0.30 元/盒，占跨厂单位成本总差额 25.86%。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17.02 元/盒，产量 35000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5．建议针对直接材料总额环比上升21.36%开展量价拆分核查。</ns0:t>
              <ns0:br/>
              <ns0:t>核查对象：直接材料总额环比变动[[metric:中药一厂:六味地黄胶囊:2026-03:2026-03:unit:materials_total_rate]]%的量价构成</ns0:t>
              <ns0:br/>
              <ns0:t>行动：由[[context:factory]]成本会计对[[context:month]]直接材料总额变动进行量价拆分，区分产量增长与单耗、价格因素，并出具书面分析报告。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本期直接材料量价拆分分析表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月度成本分析例会前完成；待确认发送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药品生产质量管理规范GMP.pdf · 相关章节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药品生产质量管理规范GMP.pdf · 相关章节 · 第23页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