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板蓝根颗粒 专题分析报告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2026-09-30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2026-09-30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9025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9025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9025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9025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第10页</w:t>
        </w:r>
      </w:hyperlink>
    </w:p>
    <w:p>
      <w:pPr>
        <w:pStyle w:val="TOC1"/>
        <w:tabs>
          <w:tab w:val="right" w:leader="dot" w:pos="9025"/>
        </w:tabs>
      </w:pPr>
      <w:hyperlink w:anchor="YH_SEC_T8" w:history="1">
        <w:r>
          <w:t xml:space="preserve">四、重点产品专项分析 — 板蓝根颗粒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9025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9025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第13页</w:t>
        </w:r>
      </w:hyperlink>
    </w:p>
    <w:p>
      <w:pPr>
        <w:pStyle w:val="TOC1"/>
        <w:tabs>
          <w:tab w:val="right" w:leader="dot" w:pos="9025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9025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9025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第14页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板蓝根颗粒 专题分析报告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报告编号：YH-107D2A41（分析周期 2026-05）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761940.00 元（产量 102000 盒），单位成本 7.47 元/盒，环比上升3.18%，同比上升5.21%。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+0.18 元/盒、制造费用 +0.03 元/盒、直接人工 +0.02 元/盒；影响最大的是直接材料（每盒增加 0.18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根因：多维归因首位“原料：板蓝根”上升（解释力 65.2%，可能性高）；对照厂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‑0.50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898"/>
        <w:gridCol w:w="6067"/>
      </w:tblGrid>
      <w:tr>
        <w:trPr>
          <w:tblHeader/>
          <w:cantSplit/>
        </w:trPr>
        <w:tc>
          <w:tcPr>
            <w:shd w:fill="D9D9D9"/>
            <w:tcW w:w="28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606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6067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专题分析（成本变化与证据核查）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6067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2026-05</w:t>
            </w:r>
            <w:bookmarkEnd w:id="10137"/>
          </w:p>
        </w:tc>
      </w:tr>
      <w:tr>
        <w:trPr>
          <w:cantSplit/>
        </w:trPr>
        <w:tc>
          <w:tcPr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6067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板蓝根颗粒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6067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10g×20袋/盒</w:t>
            </w:r>
            <w:bookmarkEnd w:id="10141"/>
          </w:p>
        </w:tc>
      </w:tr>
      <w:tr>
        <w:trPr>
          <w:cantSplit/>
        </w:trPr>
        <w:tc>
          <w:tcPr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6067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102000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6067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6067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289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6067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102000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98000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4.08%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96900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5.26%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90000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13.33%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7.24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sz w:val="18"/>
              </w:rPr>
              <w:t xml:space="preserve">3.18%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7.10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5.21%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7.00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sz w:val="18"/>
              </w:rPr>
              <w:t xml:space="preserve">6.71%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761940.00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709520.00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7.39%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687990.00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10.75%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630000.00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sz w:val="18"/>
              </w:rPr>
              <w:t xml:space="preserve">20.94%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4.57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sz w:val="18"/>
              </w:rPr>
              <w:t xml:space="preserve">3.94%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4.42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7.47%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4.38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sz w:val="18"/>
              </w:rPr>
              <w:t xml:space="preserve">8.45%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1.02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sz w:val="18"/>
              </w:rPr>
              <w:t xml:space="preserve">3.92%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1.64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1.22%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1.60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3.75%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37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7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6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6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4.75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63.59%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78.26%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14.19%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sz w:val="18"/>
              </w:rPr>
              <w:t xml:space="preserve">0.02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8.70%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22.22%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sz w:val="18"/>
              </w:rPr>
              <w:t xml:space="preserve">0.03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13.04%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7.47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sz w:val="18"/>
              </w:rPr>
              <w:t xml:space="preserve">0.23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0"/>
        <w:gridCol w:w="1615"/>
        <w:gridCol w:w="1905"/>
        <w:gridCol w:w="1902"/>
        <w:gridCol w:w="1498"/>
        <w:gridCol w:w="1615"/>
      </w:tblGrid>
      <w:tr>
        <w:trPr>
          <w:tblHeader/>
          <w:cantSplit/>
        </w:trPr>
        <w:tc>
          <w:tcPr>
            <w:vAlign w:val="center"/>
            <w:shd w:fill="D9D9D9"/>
            <w:tcW w:w="430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4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3.05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2.90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+5.17%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83.33%（品种级），优先核查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0.58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0.57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+1.75%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0.37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0.36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+2.78%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包装材料(复合膜袋+纸盒)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0.75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0.74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+1.35%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4.75 元，比上期变动 0.18 元，占单位成本变动的 78.26%。</w:t>
        <w:br/>
        <w:t xml:space="preserve">板蓝根：2.90 → 3.05 元/盒，变动 0.15 元/盒，占材料增量 83.33%；包装材料(复合膜袋+纸盒)：0.74 → 0.75 元/盒，变动 0.01 元/盒，占材料增量 5.56%；糊精：0.36 → 0.37 元/盒，变动 0.01 元/盒，占材料增量 5.56%；蔗糖：0.57 → 0.58 元/盒，变动 0.01 元/盒，占材料增量 5.56%。 单位消耗成本同时受价格和实耗影响；需采购入库单、批次领退料及合格产出记录，才能分别核验价格与耗量。</w:t>
        <w:br/>
        <w:t xml:space="preserve">提取收率变化可能影响每盒材料耗用；现有工艺文档给出控制要求，尚不能证明本期实际收率下降。需将批次投料和合格产出与上期对照核查。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93"/>
        <w:gridCol w:w="734"/>
        <w:gridCol w:w="734"/>
        <w:gridCol w:w="734"/>
        <w:gridCol w:w="1470"/>
      </w:tblGrid>
      <w:tr>
        <w:trPr>
          <w:tblHeader/>
          <w:cantSplit/>
        </w:trPr>
        <w:tc>
          <w:tcPr>
            <w:shd w:fill="D9D9D9"/>
            <w:tcW w:w="529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7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1.06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1.04</w:t>
            </w:r>
            <w:bookmarkEnd w:id="10251"/>
          </w:p>
        </w:tc>
        <w:tc>
          <w:tcPr>
            <w:noWrap/>
            <w:tcW w:w="734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sz w:val="18"/>
              </w:rPr>
              <w:t xml:space="preserve">1.92%</w:t>
            </w:r>
            <w:bookmarkEnd w:id="1025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164.71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179.59</w:t>
            </w:r>
            <w:bookmarkEnd w:id="10256"/>
          </w:p>
        </w:tc>
        <w:tc>
          <w:tcPr>
            <w:shd w:fill="F7F7F7"/>
            <w:noWrap/>
            <w:tcW w:w="734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-8.29%</w:t>
            </w:r>
            <w:bookmarkEnd w:id="1025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64.36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57.91</w:t>
            </w:r>
            <w:bookmarkEnd w:id="10261"/>
          </w:p>
        </w:tc>
        <w:tc>
          <w:tcPr>
            <w:noWrap/>
            <w:tcW w:w="734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sz w:val="18"/>
              </w:rPr>
              <w:t xml:space="preserve">11.13%</w:t>
            </w:r>
            <w:bookmarkEnd w:id="10262"/>
          </w:p>
        </w:tc>
        <w:tc>
          <w:tcPr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9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485.71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445.45</w:t>
            </w:r>
            <w:bookmarkEnd w:id="10266"/>
          </w:p>
        </w:tc>
        <w:tc>
          <w:tcPr>
            <w:shd w:fill="F7F7F7"/>
            <w:noWrap/>
            <w:tcW w:w="734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sz w:val="18"/>
              </w:rPr>
              <w:t xml:space="preserve">9.04%</w:t>
            </w:r>
            <w:bookmarkEnd w:id="10267"/>
          </w:p>
        </w:tc>
        <w:tc>
          <w:tcPr>
            <w:shd w:fill="F7F7F7"/>
            <w:tcW w:w="147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1.06 元，比上期变动 0.02 元，占单位成本环比变动 8.70%。平均小时工资是题包折算口径。每盒人工费用受工时、人员组成及加班影响；需核对工时台账、工资组成与返工记录，不能认定基础薪率上涨。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0.55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0.54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sz w:val="18"/>
              </w:rPr>
              <w:t xml:space="preserve">1.85%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0.42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0.41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sz w:val="18"/>
              </w:rPr>
              <w:t xml:space="preserve">2.44%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0.33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sz w:val="18"/>
              </w:rPr>
              <w:t xml:space="preserve">3.03%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0.18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0.17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1.66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1.63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sz w:val="18"/>
              </w:rPr>
              <w:t xml:space="preserve">1.84%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1.66 元，比上期变动 0.03 元，占单位成本环比变动 13.04%。按费用台账和分配基数检查变化。维修事件只有在产品、期间及入账范围一致时才用于本期解释；不得将维修金额重复计入总成本。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板蓝根颗粒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683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68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4.42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1.05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7.12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72000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4.49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1.08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1.68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7.25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+1.83%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4.34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1.02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6.96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-4.00%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2026-04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4.57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1.04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1.63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7.24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+4.02%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2026-05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4.75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1.06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1.66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7.47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+3.18%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416"/>
        <w:gridCol w:w="1228"/>
        <w:gridCol w:w="643"/>
        <w:gridCol w:w="1784"/>
        <w:gridCol w:w="241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4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2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6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41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原料：板蓝根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65.2%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高（0.83）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占同口径变动65.2%；存在行情同向信号；跨厂变化对照同向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78.3%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中（0.64）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占同口径变动78.3%；跨厂变化对照同向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13.0%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低（0.32）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占同口径变动13.0%；跨厂变化对照同向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8.7%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低（0.29）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占同口径变动8.7%；跨厂变化对照同向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原料：包装材料(复合膜袋+纸盒)</w:t>
            </w:r>
          </w:p>
        </w:tc>
        <w:tc>
          <w:tcPr>
            <w:vAlign w:val="center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4.3%</w:t>
            </w:r>
          </w:p>
        </w:tc>
        <w:tc>
          <w:tcPr>
            <w:vAlign w:val="center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上升</w:t>
            </w:r>
          </w:p>
        </w:tc>
        <w:tc>
          <w:tcPr>
            <w:vAlign w:val="center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低（0.27）</w:t>
            </w:r>
          </w:p>
        </w:tc>
        <w:tc>
          <w:tcPr>
            <w:vAlign w:val="center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占同口径变动4.3%；跨厂变化对照同向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附</w:t>
            </w:r>
          </w:p>
        </w:tc>
        <w:tc>
          <w:tcPr>
            <w:vAlign w:val="center"/>
            <w:shd w:fill="F7F7F7"/>
            <w:tcW w:w="241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对照厂反事实（DiD，中药二厂）</w:t>
            </w:r>
          </w:p>
        </w:tc>
        <w:tc>
          <w:tcPr>
            <w:vAlign w:val="center"/>
            <w:shd w:fill="F7F7F7"/>
            <w:noWrap/>
            <w:tcW w:w="122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0.0200 元/盒</w:t>
            </w:r>
          </w:p>
        </w:tc>
        <w:tc>
          <w:tcPr>
            <w:vAlign w:val="center"/>
            <w:shd w:fill="F7F7F7"/>
            <w:tcW w:w="64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  <w:tc>
          <w:tcPr>
            <w:vAlign w:val="center"/>
            <w:shd w:fill="F7F7F7"/>
            <w:tcW w:w="1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平行趋势未验证</w:t>
            </w:r>
          </w:p>
        </w:tc>
        <w:tc>
          <w:tcPr>
            <w:vAlign w:val="center"/>
            <w:shd w:fill="F7F7F7"/>
            <w:tcW w:w="241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安慰剂τ=0.0000；估计值，本月相对前三个月均值的本厂变化减去对照厂变化；历史差异阈值仅是描述性检查，不能证明平行趋势。未指定独立干预事件，不能解释为因果效应。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102000 盒，总成本 761940.00 元。 相对预算总成本差额 131940.00 元，其中产量影响 84000.00 元，单位成本影响 47940.00 元；不能全部归为效率恶化。</w:t>
        <w:br/>
        <w:t xml:space="preserve">本期三要素没有超过既定阈值的告警；仍应核对主要变动项。</w:t>
        <w:br/>
        <w:t xml:space="preserve">归因方向评估（按可能性排序；以下均为待证实假设，供业务判断）：</w:t>
        <w:br/>
        <w:t xml:space="preserve">1. 材料价格传导：板蓝根市场价由上期 29.5 变为 32.0 元/kg（亳州中药材市场），与材料单位成本变动方向一致，价格传导可能性较高。证实或证伪：核对采购合同单价与市场价的偏离、以及批次库存结构。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4000.00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870"/>
        <w:gridCol w:w="1287"/>
        <w:gridCol w:w="1287"/>
        <w:gridCol w:w="701"/>
        <w:gridCol w:w="2410"/>
        <w:gridCol w:w="2409"/>
      </w:tblGrid>
      <w:tr>
        <w:trPr>
          <w:tblHeader/>
          <w:cantSplit/>
        </w:trPr>
        <w:tc>
          <w:tcPr>
            <w:vAlign w:val="center"/>
            <w:shd w:fill="D9D9D9"/>
            <w:tcW w:w="870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70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41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40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板蓝根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28.0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32.0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+14.3%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5月因流感季需求增加上涨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蔗糖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6.8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7.0</w:t>
            </w:r>
          </w:p>
        </w:tc>
        <w:tc>
          <w:tcPr>
            <w:vAlign w:val="center"/>
            <w:shd w:fill="F7F7F7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+2.9%</w:t>
            </w:r>
          </w:p>
        </w:tc>
        <w:tc>
          <w:tcPr>
            <w:vAlign w:val="center"/>
            <w:shd w:fill="F7F7F7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国际糖价传导，小幅波动</w:t>
            </w:r>
          </w:p>
        </w:tc>
        <w:tc>
          <w:tcPr>
            <w:vAlign w:val="center"/>
            <w:shd w:fill="F7F7F7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87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糊精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12.5</w:t>
            </w:r>
          </w:p>
        </w:tc>
        <w:tc>
          <w:tcPr>
            <w:vAlign w:val="center"/>
            <w:noWrap/>
            <w:tcW w:w="70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+4.2%</w:t>
            </w:r>
          </w:p>
        </w:tc>
        <w:tc>
          <w:tcPr>
            <w:vAlign w:val="center"/>
            <w:tcW w:w="241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小幅上涨</w:t>
            </w:r>
          </w:p>
        </w:tc>
        <w:tc>
          <w:tcPr>
            <w:vAlign w:val="center"/>
            <w:tcW w:w="240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1893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93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原料单位耗用成本变动排行（前4，涨红跌绿）</w:t>
      </w:r>
    </w:p>
    <w:p>
      <w:bookmarkStart w:id="31014" w:name="YH_SEC_T12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7.47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7.97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-0.50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-6.27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4.75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4.95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-4.04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1.06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1.19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-0.13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-10.92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1.66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1.83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-0.17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-9.29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-0.20 元/盒，占跨厂单位成本总差额 40.00%；直接人工差额 -0.13 元/盒，占跨厂单位成本总差额 26.00%；制造费用差额 -0.17 元/盒，占跨厂单位成本总差额 34.00%。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本期单位成本 7.47 元/盒，产量 102000 盒；本期无显著优于基期或行业中位的确定性亮点。</w:t>
      </w:r>
      <w:bookmarkEnd w:id="10323"/>
    </w:p>
    <w:p>
      <w:bookmarkStart w:id="31020" w:name="YH_SEC_T18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板蓝根本期与上期采购和批次耗用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产品配方：产品配方文档_板蓝根颗粒.pdf（第2页）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GMP要求：GMP法规核心摘要_2010修订版.pdf（第3页）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行业基准：行业成本基准_行业知识_2026.txt（行13-24）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板蓝根颗粒 · 中药一厂 · 2026-05。金额以元、单位成本以元/盒计；季度按产量加权。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7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四、关键工艺参数对成本的影响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三、板蓝根颗粒 生产工艺路线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产品配方文档_板蓝根颗粒.pdf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GMP法规核心摘要_2010修订版.pdf · 相关章节 · 第6页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行业成本基准_行业知识_2026.txt · 二、颗粒剂类（板蓝根颗粒所属类别） · 行13-24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记录由真人评审填写，系统与模型不代填。归因合理性为0—5整数，重点考察具体成本要素、适用知识引用及建议可执行性；章节完整性、内容可读性、视觉版式分别填写通过或不通过，并保留原始意见。引用不等于已证实因果。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66"/>
        <w:gridCol w:w="1828"/>
        <w:gridCol w:w="2460"/>
        <w:gridCol w:w="1511"/>
      </w:tblGrid>
      <w:tr>
        <w:trPr>
          <w:tblHeader/>
          <w:cantSplit/>
        </w:trPr>
        <w:tc>
          <w:tcPr>
            <w:shd w:fill="D9D9D9"/>
            <w:tcW w:w="3166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82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评分或结论</w:t>
            </w:r>
          </w:p>
        </w:tc>
        <w:tc>
          <w:tcPr>
            <w:shd w:fill="D9D9D9"/>
            <w:tcW w:w="24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5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原始意见</w:t>
            </w:r>
          </w:p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归因合理性（0—5整数）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章节完整性（通过/不通过）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  <w:tr>
        <w:trPr>
          <w:cantSplit/>
        </w:trPr>
        <w:tc>
          <w:tcPr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内容可读性（通过/不通过）</w:t>
            </w:r>
          </w:p>
        </w:tc>
        <w:tc>
          <w:tcPr>
            <w:tcW w:w="1828" w:type="dxa"/>
          </w:tcPr>
          <w:p/>
        </w:tc>
        <w:tc>
          <w:tcPr>
            <w:tcW w:w="2460" w:type="dxa"/>
          </w:tcPr>
          <w:p/>
        </w:tc>
        <w:tc>
          <w:tcPr>
            <w:tcW w:w="1511" w:type="dxa"/>
          </w:tcPr>
          <w:p/>
        </w:tc>
      </w:tr>
      <w:tr>
        <w:trPr>
          <w:cantSplit/>
        </w:trPr>
        <w:tc>
          <w:tcPr>
            <w:shd w:fill="F7F7F7"/>
            <w:tcW w:w="316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视觉版式（通过/不通过）</w:t>
            </w:r>
          </w:p>
        </w:tc>
        <w:tc>
          <w:tcPr>
            <w:shd w:fill="F7F7F7"/>
            <w:tcW w:w="1828" w:type="dxa"/>
          </w:tcPr>
          <w:p/>
        </w:tc>
        <w:tc>
          <w:tcPr>
            <w:shd w:fill="F7F7F7"/>
            <w:tcW w:w="2460" w:type="dxa"/>
          </w:tcPr>
          <w:p/>
        </w:tc>
        <w:tc>
          <w:tcPr>
            <w:shd w:fill="F7F7F7"/>
            <w:tcW w:w="1511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