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</w:pPr>
    </w:p>
    <w:p w14:paraId="26A4B60E">
      <w:pPr>
        <w:spacing w:line="360" w:lineRule="auto"/>
      </w:pPr>
    </w:p>
    <w:p w14:paraId="6E951B70"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</w:pPr>
      <w:r>
        <w:rPr>
          <w:rStyle w:val="16"/>
          <w:rFonts w:hint="eastAsia"/>
          <w:b/>
          <w:bCs/>
          <w:sz w:val="48"/>
          <w:szCs w:val="48"/>
          <w:lang w:val="en-US" w:eastAsia="zh-CN"/>
        </w:rPr>
        <w:t>{{报告标题}}</w:t>
      </w:r>
      <w:bookmarkStart w:id="13" w:name="_GoBack"/>
      <w:bookmarkEnd w:id="13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</w:pPr>
    </w:p>
    <w:p w14:paraId="67B983A2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</w:pPr>
      <w:r>
        <w:rPr>
          <w:rStyle w:val="16"/>
          <w:rFonts w:hint="eastAsia"/>
          <w:b/>
          <w:bCs/>
          <w:sz w:val="48"/>
          <w:szCs w:val="48"/>
        </w:rPr>
        <w:t>《</w:t>
      </w:r>
      <w:r>
        <w:rPr>
          <w:rStyle w:val="16"/>
          <w:rFonts w:hint="eastAsia"/>
          <w:b/>
          <w:bCs/>
          <w:sz w:val="48"/>
          <w:szCs w:val="48"/>
          <w:lang w:val="en-US" w:eastAsia="zh-CN"/>
        </w:rPr>
        <w:t>{{报告标题}}</w:t>
      </w:r>
      <w:r>
        <w:rPr>
          <w:rStyle w:val="16"/>
          <w:rFonts w:hint="eastAsia"/>
          <w:b/>
          <w:bCs/>
          <w:sz w:val="48"/>
          <w:szCs w:val="48"/>
        </w:rPr>
        <w:t>》</w:t>
      </w: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</w:pPr>
      <w:r>
        <w:rPr>
          <w:rStyle w:val="16"/>
          <w:rFonts w:hint="eastAsia"/>
          <w:b/>
          <w:bCs/>
          <w:sz w:val="48"/>
          <w:szCs w:val="48"/>
        </w:rPr>
        <w:t>整体解决方案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</w:pPr>
      <w:r>
        <w:rPr>
          <w:rFonts w:hint="eastAsia" w:hAnsi="宋体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</w:p>
    <w:p w14:paraId="43612FA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文件版本： V3.0</w:t>
      </w:r>
    </w:p>
    <w:p w14:paraId="22868FA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编制日期： {{编制日期}}</w:t>
      </w:r>
      <w:r>
        <w:rPr>
          <w:rFonts w:hint="eastAsia" w:ascii="微软雅黑" w:hAnsi="微软雅黑" w:eastAsia="微软雅黑" w:cs="微软雅黑"/>
          <w:sz w:val="22"/>
        </w:rPr>
      </w:r>
    </w:p>
    <w:p w14:paraId="6A3D3DE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编制单位：</w:t>
      </w:r>
      <w:r>
        <w:rPr>
          <w:rFonts w:hint="eastAsia" w:ascii="微软雅黑" w:hAnsi="微软雅黑" w:eastAsia="微软雅黑" w:cs="微软雅黑"/>
          <w:sz w:val="22"/>
        </w:rPr>
        <w:t xml:space="preserve"> 重庆创灵境数字技术有限公司</w:t>
      </w:r>
    </w:p>
    <w:p w14:paraId="27C9C370">
      <w:pPr>
        <w:spacing w:line="360" w:lineRule="auto"/>
        <w:rPr>
          <w:rFonts w:hint="eastAsia" w:ascii="宋体" w:hAnsi="宋体"/>
          <w:b/>
          <w:bCs/>
          <w:sz w:val="30"/>
          <w:szCs w:val="30"/>
        </w:rPr>
      </w:pPr>
    </w:p>
    <w:p w14:paraId="448317FB">
      <w:pPr>
        <w:spacing w:line="360" w:lineRule="auto"/>
        <w:rPr>
          <w:rFonts w:hint="eastAsia" w:ascii="宋体" w:hAnsi="宋体"/>
          <w:b/>
          <w:bCs/>
          <w:sz w:val="30"/>
          <w:szCs w:val="30"/>
        </w:rPr>
      </w:pPr>
    </w:p>
    <w:p w14:paraId="5C4525E1">
      <w:pPr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W w:w="7440" w:type="dxa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6" w:type="dxa"/>
          <w:bottom w:w="0" w:type="dxa"/>
          <w:right w:w="96" w:type="dxa"/>
        </w:tblCellMar>
      </w:tblPr>
      <w:tblGrid>
        <w:gridCol w:w="1860"/>
        <w:gridCol w:w="1839"/>
        <w:gridCol w:w="861"/>
        <w:gridCol w:w="2880"/>
      </w:tblGrid>
      <w:tr w14:paraId="56EB3084">
        <w:trPr>
          <w:cantSplit/>
          <w:tblHeader/>
        </w:trPr>
        <w:tc>
          <w:tcPr>
            <w:tcW w:w="1860" w:type="dxa"/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69AD8A79">
            <w:pPr>
              <w:spacing w:line="360" w:lineRule="auto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 日期</w:t>
            </w:r>
          </w:p>
        </w:tc>
        <w:tc>
          <w:tcPr>
            <w:tcW w:w="1839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作者</w:t>
            </w:r>
          </w:p>
        </w:tc>
        <w:tc>
          <w:tcPr>
            <w:tcW w:w="861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版本号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W w:w="1860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{{编制日期}}</w:t>
            </w:r>
          </w:p>
        </w:tc>
        <w:tc>
          <w:tcPr>
            <w:tcW w:w="1839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龚云</w:t>
            </w:r>
          </w:p>
        </w:tc>
        <w:tc>
          <w:tcPr>
            <w:tcW w:w="861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V3.0</w:t>
            </w:r>
          </w:p>
        </w:tc>
        <w:tc>
          <w:tcPr>
            <w:tcW w:w="2880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tcW w:w="1860" w:type="dxa"/>
            <w:shd w:val="clear" w:color="auto" w:fill="auto"/>
            <w:noWrap w:val="0"/>
            <w:vAlign w:val="top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1839" w:type="dxa"/>
            <w:shd w:val="clear" w:color="auto" w:fill="auto"/>
            <w:noWrap w:val="0"/>
            <w:vAlign w:val="top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861" w:type="dxa"/>
            <w:shd w:val="clear" w:color="auto" w:fill="auto"/>
            <w:noWrap w:val="0"/>
            <w:vAlign w:val="top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2880" w:type="dxa"/>
            <w:shd w:val="clear" w:color="auto" w:fill="auto"/>
            <w:noWrap w:val="0"/>
            <w:vAlign w:val="top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keepNext/>
        <w:keepLines/>
        <w:spacing w:before="120" w:after="120" w:line="360" w:lineRule="auto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查阅</w:t>
      </w:r>
    </w:p>
    <w:tbl>
      <w:tblPr>
        <w:tblStyle w:val="11"/>
        <w:tblW w:w="0" w:type="auto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3590"/>
      </w:tblGrid>
      <w:tr w14:paraId="0F6BE266">
        <w:trPr>
          <w:cantSplit/>
          <w:tblHeader/>
        </w:trPr>
        <w:tc>
          <w:tcPr>
            <w:tcW w:w="3870" w:type="dxa"/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7C8011D1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名字</w:t>
            </w:r>
          </w:p>
        </w:tc>
        <w:tc>
          <w:tcPr>
            <w:tcW w:w="3590" w:type="dxa"/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</w:tcPr>
          <w:p w14:paraId="6AA9785E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W w:w="3870" w:type="dxa"/>
            <w:tcBorders>
              <w:top w:val="nil"/>
            </w:tcBorders>
            <w:noWrap w:val="0"/>
            <w:vAlign w:val="top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tcBorders>
              <w:top w:val="nil"/>
            </w:tcBorders>
            <w:noWrap w:val="0"/>
            <w:vAlign w:val="top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keepNext/>
        <w:keepLines/>
        <w:spacing w:before="120" w:after="120" w:line="360" w:lineRule="auto"/>
        <w:rPr>
          <w:rFonts w:hint="eastAsia" w:hAnsi="宋体"/>
        </w:rPr>
      </w:pPr>
      <w:r>
        <w:rPr>
          <w:rFonts w:hint="eastAsia" w:ascii="宋体" w:hAnsi="宋体"/>
          <w:b/>
        </w:rPr>
        <w:t>分发</w:t>
      </w:r>
    </w:p>
    <w:tbl>
      <w:tblPr>
        <w:tblStyle w:val="11"/>
        <w:tblW w:w="0" w:type="auto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340"/>
        <w:gridCol w:w="3600"/>
      </w:tblGrid>
      <w:tr w14:paraId="1C3BF9B9">
        <w:trPr>
          <w:cantSplit/>
          <w:tblHeader/>
        </w:trPr>
        <w:tc>
          <w:tcPr>
            <w:tcW w:w="1530" w:type="dxa"/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54D512DD">
            <w:pPr>
              <w:pStyle w:val="17"/>
              <w:spacing w:line="360" w:lineRule="auto"/>
              <w:rPr>
                <w:rFonts w:hAnsi="宋体"/>
                <w:sz w:val="21"/>
              </w:rPr>
            </w:pPr>
            <w:r>
              <w:rPr>
                <w:rFonts w:hint="eastAsia" w:hAnsi="宋体"/>
                <w:sz w:val="21"/>
              </w:rPr>
              <w:t>抄送</w:t>
            </w:r>
            <w:r>
              <w:rPr>
                <w:rFonts w:hAnsi="宋体"/>
                <w:sz w:val="21"/>
              </w:rPr>
              <w:t>.</w:t>
            </w:r>
          </w:p>
        </w:tc>
        <w:tc>
          <w:tcPr>
            <w:tcW w:w="23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29B807E6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名字</w:t>
            </w:r>
          </w:p>
        </w:tc>
        <w:tc>
          <w:tcPr>
            <w:tcW w:w="3600" w:type="dxa"/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</w:tcPr>
          <w:p w14:paraId="0CD354C9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W w:w="1530" w:type="dxa"/>
            <w:tcBorders>
              <w:top w:val="nil"/>
            </w:tcBorders>
            <w:noWrap w:val="0"/>
            <w:vAlign w:val="top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tcBorders>
              <w:top w:val="nil"/>
            </w:tcBorders>
            <w:noWrap w:val="0"/>
            <w:vAlign w:val="top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600" w:type="dxa"/>
            <w:tcBorders>
              <w:top w:val="nil"/>
            </w:tcBorders>
            <w:noWrap w:val="0"/>
            <w:vAlign w:val="top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</w:pPr>
    </w:p>
    <w:p w14:paraId="48D52EA1">
      <w:pPr>
        <w:spacing w:line="360" w:lineRule="auto"/>
        <w:jc w:val="center"/>
        <w:rPr>
          <w:rFonts w:hint="eastAsia" w:ascii="宋体" w:hAnsi="宋体"/>
        </w:rPr>
      </w:pPr>
    </w:p>
    <w:p w14:paraId="15E737B2">
      <w:pPr>
        <w:spacing w:line="360" w:lineRule="auto"/>
        <w:jc w:val="center"/>
        <w:rPr>
          <w:rFonts w:hint="eastAsia" w:ascii="宋体" w:hAnsi="宋体"/>
        </w:rPr>
      </w:pPr>
    </w:p>
    <w:p w14:paraId="279EFE4A">
      <w:pPr>
        <w:spacing w:line="360" w:lineRule="auto"/>
        <w:jc w:val="center"/>
        <w:rPr>
          <w:rFonts w:hint="eastAsia" w:ascii="宋体" w:hAnsi="宋体"/>
        </w:rPr>
      </w:pPr>
    </w:p>
    <w:p w14:paraId="2B57BBC6">
      <w:pPr>
        <w:spacing w:line="360" w:lineRule="auto"/>
        <w:jc w:val="center"/>
        <w:rPr>
          <w:rFonts w:hint="eastAsia" w:ascii="宋体" w:hAnsi="宋体"/>
        </w:rPr>
      </w:pPr>
    </w:p>
    <w:p w14:paraId="50C9323A">
      <w:pPr>
        <w:spacing w:line="360" w:lineRule="auto"/>
        <w:jc w:val="center"/>
        <w:rPr>
          <w:rFonts w:hint="eastAsia" w:ascii="宋体" w:hAnsi="宋体"/>
        </w:rPr>
      </w:pPr>
    </w:p>
    <w:p w14:paraId="116754E9">
      <w:pPr>
        <w:spacing w:line="360" w:lineRule="auto"/>
        <w:jc w:val="center"/>
        <w:rPr>
          <w:rFonts w:hint="eastAsia" w:ascii="宋体" w:hAnsi="宋体"/>
        </w:rPr>
      </w:pPr>
    </w:p>
    <w:p w14:paraId="20D67459">
      <w:pPr>
        <w:spacing w:line="360" w:lineRule="auto"/>
        <w:jc w:val="center"/>
        <w:rPr>
          <w:rFonts w:hint="eastAsia" w:ascii="宋体" w:hAnsi="宋体"/>
        </w:rPr>
      </w:pPr>
    </w:p>
    <w:p w14:paraId="43E61A08">
      <w:pPr>
        <w:spacing w:line="360" w:lineRule="auto"/>
        <w:jc w:val="center"/>
        <w:rPr>
          <w:rFonts w:hint="eastAsia" w:ascii="宋体" w:hAnsi="宋体"/>
        </w:rPr>
      </w:pPr>
    </w:p>
    <w:p w14:paraId="1FC34755">
      <w:pPr>
        <w:spacing w:line="360" w:lineRule="auto"/>
        <w:jc w:val="center"/>
        <w:rPr>
          <w:rFonts w:hint="eastAsia" w:ascii="宋体" w:hAnsi="宋体"/>
        </w:rPr>
      </w:pPr>
    </w:p>
    <w:p w14:paraId="12075237">
      <w:pPr>
        <w:keepNext/>
        <w:keepLines/>
        <w:spacing w:before="120" w:after="120" w:line="360" w:lineRule="auto"/>
        <w:rPr>
          <w:rFonts w:ascii="宋体" w:hAnsi="宋体"/>
        </w:rPr>
      </w:pPr>
      <w:r>
        <w:rPr>
          <w:rFonts w:hint="eastAsia" w:ascii="宋体" w:hAnsi="宋体"/>
          <w:b/>
          <w:lang w:val="en-US" w:eastAsia="zh-CN"/>
        </w:rPr>
        <w:t>阅读指南</w:t>
      </w:r>
    </w:p>
    <w:p w14:paraId="7377E6A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</w:pPr>
    </w:p>
    <w:tbl>
      <w:tblPr>
        <w:tblStyle w:val="11"/>
        <w:tblW w:w="8436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4162"/>
        <w:gridCol w:w="2576"/>
      </w:tblGrid>
      <w:tr w14:paraId="23EB7635">
        <w:trPr>
          <w:trHeight w:val="580" w:hRule="atLeast"/>
        </w:trPr>
        <w:tc>
          <w:tcPr>
            <w:tcW w:w="169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读者角色</w:t>
            </w:r>
          </w:p>
        </w:tc>
        <w:tc>
          <w:tcPr>
            <w:tcW w:w="4162" w:type="dxa"/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阅读重点</w:t>
            </w:r>
          </w:p>
        </w:tc>
        <w:tc>
          <w:tcPr>
            <w:tcW w:w="2576" w:type="dxa"/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目的</w:t>
            </w:r>
          </w:p>
        </w:tc>
      </w:tr>
      <w:tr w14:paraId="649EAFD5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管理层/总经理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三、成本要素明、四、重点产品专、五、对标分析、六、总结与建议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采购总监/业务负责人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全文通读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IT/实施团队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全文通读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明确技术架构、实施计划、系统配置</w:t>
            </w:r>
          </w:p>
        </w:tc>
      </w:tr>
      <w:tr w14:paraId="5D9B84E5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财务/采购决策者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六、总结与建议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评估实施周期与预算，决策推进</w:t>
            </w:r>
          </w:p>
        </w:tc>
      </w:tr>
    </w:tbl>
    <w:p w14:paraId="5DF735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b/>
          <w:bCs/>
          <w:kern w:val="0"/>
          <w:sz w:val="21"/>
          <w:szCs w:val="21"/>
          <w:lang w:val="en-US" w:eastAsia="zh-CN" w:bidi="ar"/>
        </w:rPr>
      </w:pPr>
    </w:p>
    <w:p w14:paraId="1EE548A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0835119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sz w:val="21"/>
          <w:szCs w:val="21"/>
        </w:rPr>
      </w:pPr>
    </w:p>
    <w:p w14:paraId="2461B6E0">
      <w:pPr>
        <w:spacing w:line="360" w:lineRule="auto"/>
        <w:rPr>
          <w:rFonts w:hint="eastAsia" w:ascii="等线" w:hAnsi="等线" w:eastAsia="等线" w:cs="等线"/>
          <w:sz w:val="21"/>
          <w:szCs w:val="21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pgSz w:w="11906" w:h="16838"/>
          <w:pgMar w:top="1440" w:right="1797" w:bottom="1440" w:left="1797" w:header="851" w:footer="992" w:gutter="0"/>
          <w:pgNumType w:fmt="decimal"/>
          <w:cols w:space="720" w:num="1"/>
          <w:docGrid w:type="lines" w:linePitch="312" w:charSpace="0"/>
        </w:sectPr>
      </w:pPr>
    </w:p>
    <w:p w14:paraId="15E5B084">
      <w:pPr>
        <w:pStyle w:val="19"/>
        <w:spacing w:before="360" w:after="120" w:line="360" w:lineRule="auto"/>
        <w:jc w:val="center"/>
      </w:pPr>
      <w:r>
        <w:rPr>
          <w:lang w:val="zh-CN"/>
        </w:rPr>
        <w:t>目</w:t>
      </w:r>
      <w:r>
        <w:rPr>
          <w:rFonts w:hint="eastAsia"/>
        </w:rPr>
        <w:t xml:space="preserve">     </w:t>
      </w:r>
      <w:r>
        <w:rPr>
          <w:lang w:val="zh-CN"/>
        </w:rPr>
        <w:t>录</w:t>
      </w:r>
    </w:p>
    <w:p>
      <w:r>
        <w:fldChar w:fldCharType="begin"/>
      </w:r>
      <w:r>
        <w:instrText xml:space="preserve"> TOC \o "1-4" \h \z \u </w:instrText>
      </w:r>
      <w:r>
        <w:fldChar w:fldCharType="separate"/>
      </w:r>
      <w:r>
        <w:t xml:space="preserve">（右键点击此处 → 更新域 → 更新整个目录）</w:t>
      </w:r>
      <w:r>
        <w:fldChar w:fldCharType="end"/>
      </w:r>
    </w:p>
    <w:p w14:paraId="63D1E5E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  <w:sectPr>
          <w:headerReference r:id="rId8" w:type="default"/>
          <w:footerReference r:id="rId9" w:type="default"/>
          <w:pgSz w:w="11905" w:h="16840"/>
          <w:pgNumType w:fmt="decimal"/>
          <w:cols w:space="720" w:num="1"/>
        </w:sectPr>
      </w:pPr>
      <w:bookmarkStart w:id="9" w:name="heading_0"/>
    </w:p>
    <w:bookmarkEnd w:id="9"/>
    <w:p w14:paraId="0C43A0D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>
      <w:pPr>
        <w:spacing w:line="360" w:lineRule="auto"/>
        <w:outlineLvl w:val="0"/>
      </w:pPr>
      <w:r>
        <w:rPr>
          <w:rFonts w:ascii="Arial" w:hAnsi="Arial"/>
          <w:b/>
          <w:sz w:val="32"/>
        </w:rPr>
        <w:t>{{报告标题}}</w:t>
      </w:r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一、封面与基本信息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报告类型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{{报告类型}}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分析月份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{{分析月份}}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分析产品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{{产品名称}}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产品规格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{{产品规格}}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本月产量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{{本月产量}} 盒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编制人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财务部成本会计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审核人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财务总监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数据来源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ERP系统成本模块</w:t>
            </w:r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二、总成本概览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2.1 核心指标一览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本月实际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上月实际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去年同月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同比变动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预算值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预算偏差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产量(盒)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{{产量环比}}%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{{去年同月产量}}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{{产量同比}}%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{{产量预算偏差}}%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单位成本(元/盒)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{{单位成本环比}}%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{{去年单位成本}}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{{单位成本同比}}%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{{单位成本预算偏差}}%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总成本(元)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{{总成本环比}}%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{{去年总成本}}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{{总成本同比}}%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{{总成本预算偏差}}%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其中：直接材料(元/盒)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{{本月材料成本}}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{{上月材料成本}}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{{材料成本环比}}%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{{预算材料成本}}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{{材料预算偏差}}%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其中：直接人工(元/盒)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{{本月人工成本}}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{{上月人工成本}}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{{人工成本环比}}%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{{预算人工成本}}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{{人工预算偏差}}%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其中：制造费用(元/盒)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{{本月制造费用}}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{{上月制造费用}}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{{制造费用环比}}%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{{预算制造费用}}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{{制造费用预算偏差}}%</w:t>
            </w:r>
          </w:p>
        </w:tc>
      </w:tr>
    </w:tbl>
    <w:p/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2.2 成本结构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成本要素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金额(元/盒)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占比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贡献度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直接材料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{{材料金额}}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{{材料占比}}%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{{材料贡献度}}%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直接人工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{{人工金额}}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{{人工占比}}%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{{人工贡献度}}%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制造费用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{{制造费用金额}}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{{制造费用占比}}%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{{制造费用贡献度}}%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{{单位成本}}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100%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{{总环比}}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100%</w:t>
            </w:r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三、成本要素明细分析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3.1 直接材料分析</w:t>
      </w:r>
    </w:p>
    <w:p>
      <w:pPr>
        <w:spacing w:line="360" w:lineRule="auto"/>
        <w:outlineLvl w:val="3"/>
      </w:pPr>
      <w:r>
        <w:rPr>
          <w:rFonts w:ascii="Arial" w:hAnsi="Arial"/>
          <w:b/>
          <w:sz w:val="22"/>
        </w:rPr>
        <w:t>3.1.1 原材料成本明细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{{原材料成本明细表格}}</w:t>
      </w:r>
    </w:p>
    <w:p>
      <w:pPr>
        <w:spacing w:line="360" w:lineRule="auto"/>
        <w:outlineLvl w:val="3"/>
      </w:pPr>
      <w:r>
        <w:rPr>
          <w:rFonts w:ascii="Arial" w:hAnsi="Arial"/>
          <w:b/>
          <w:sz w:val="22"/>
        </w:rPr>
        <w:t>3.1.2 材料成本变动归因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{{材料成本归因分析文本}}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3.2 直接人工分析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本月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上月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单位人工成本(元/盒)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{{人工单位成本}}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{{上月人工单位成本}}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人工工时(h/万盒)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{{本月工时}}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{{上月工时}}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{{工时环比}}%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平均小时工资(元/h)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{{本月时薪}}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{{上月时薪}}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{{时薪环比}}%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人工效率(盒/人·日)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{{本月效率}}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{{上月效率}}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{{效率环比}}%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3.3 制造费用分析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费用类别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本月(元/盒)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上月(元/盒)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变动说明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折旧费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{{本月折旧}}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{{上月折旧}}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{{折旧环比}}%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{{折旧变动说明}}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动力费(水电气)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{{本月动力}}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{{上月动力}}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{{动力环比}}%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{{动力变动说明}}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间接人工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{{本月间接人工}}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{{上月间接人工}}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{{间接人工环比}}%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{{间接人工变动说明}}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检验费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{{本月检验}}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{{上月检验}}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{{检验环比}}%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{{检验变动说明}}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其他制造费用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{{本月其他}}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{{上月其他}}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{{其他环比}}%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{{其他变动说明}}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{{制造费用合计}}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{{上月制造费用合计}}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{{制造费用合计环比}}%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四、重点产品专项分析 — {{产品名称}}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4.1 近6个月单位成本趋势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{{近6个月成本趋势表格}}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4.2 成本异常点排查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{{成本异常排查分析}}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4.3 关键原材料市场价格跟踪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{{原材料价格跟踪表格}}</w:t>
      </w:r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五、对标分析（与中药二厂）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5.1 差异总览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{{对标差异表格}}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5.2 差异结构拆解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{{差异结构拆解分析}}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5.3 差异归因分析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{{差异归因分析文本}}</w:t>
      </w:r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六、总结与建议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6.1 本月成本管理亮点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{{本月亮点}}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6.2 需关注的问题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{{需关注问题}}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6.3 改进建议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{{改进建议表格}}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6.4 整改任务清单（自动生成）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{{整改任务表格}}</w:t>
      </w:r>
    </w:p>
    <w:p>
      <w:r>
        <w:t>数据说明（测试数据）：本模板属于"药衡智析"演示用测试数据集，企业、产品与数值均为虚构，仅用于演示报告结构。</w:t>
      </w:r>
    </w:p>
    <w:sectPr>
      <w:footerReference r:id="rId10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23F9B"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4BFC2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9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984BFC2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0" w:beforeLines="150" w:after="50" w:afterLines="50" w:line="360" w:lineRule="auto"/>
      <w:outlineLvl w:val="0"/>
    </w:pPr>
    <w:rPr>
      <w:rFonts w:ascii="宋体" w:hAnsi="宋体" w:eastAsia="宋体"/>
      <w:b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right" w:leader="dot" w:pos="8302"/>
      </w:tabs>
      <w:spacing w:before="120" w:after="120"/>
    </w:pPr>
    <w:rPr>
      <w:b/>
      <w:bCs/>
      <w:caps/>
      <w:sz w:val="20"/>
    </w:rPr>
  </w:style>
  <w:style w:type="paragraph" w:styleId="9">
    <w:name w:val="toc 2"/>
    <w:basedOn w:val="1"/>
    <w:next w:val="1"/>
    <w:qFormat/>
    <w:uiPriority w:val="39"/>
    <w:pPr>
      <w:tabs>
        <w:tab w:val="right" w:leader="dot" w:pos="8296"/>
      </w:tabs>
      <w:jc w:val="left"/>
    </w:pPr>
    <w:rPr>
      <w:smallCaps/>
      <w:sz w:val="20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keepLines/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