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58F5A">
      <w:pPr>
        <w:pStyle w:val="15"/>
        <w:tabs>
          <w:tab w:val="left" w:pos="3960"/>
        </w:tabs>
        <w:spacing w:line="360" w:lineRule="auto"/>
        <w:ind w:left="0" w:right="26"/>
        <w:rPr>
          <w:rStyle w:val="16"/>
        </w:rPr>
        <w:snapToGrid w:val="0"/>
      </w:pPr>
    </w:p>
    <w:p w14:paraId="26A4B60E">
      <w:pPr>
        <w:spacing w:line="360" w:lineRule="auto"/>
        <w:snapToGrid w:val="0"/>
      </w:pPr>
    </w:p>
    <w:p w14:paraId="6E951B70">
      <w:bookmarkStart w:id="10002" w:name="YH_c282ade0_2"/>
      <w:pPr>
        <w:spacing w:line="360" w:lineRule="auto"/>
        <w:jc w:val="center"/>
        <w:rPr>
          <w:rStyle w:val="16"/>
          <w:rFonts w:hint="default"/>
          <w:b/>
          <w:bCs/>
          <w:sz w:val="48"/>
          <w:szCs w:val="48"/>
          <w:lang w:val="en-US" w:eastAsia="zh-CN"/>
        </w:rPr>
        <w:snapToGrid w:val="0"/>
      </w:pPr>
      <w:r>
        <w:rPr>
          <w:rStyle w:val="16"/>
          <w:rFonts w:hint="eastAsia" w:ascii="Times New Roman" w:hAnsi="Times New Roman" w:eastAsia="宋体" w:cs="Times New Roman"/>
          <w:b/>
          <w:bCs/>
          <w:sz w:val="48"/>
          <w:szCs w:val="48"/>
          <w:lang w:val="en-US" w:eastAsia="zh-CN"/>
        </w:rPr>
        <w:t xml:space="preserve">银黄口服液 月度成本分析报告</w:t>
      </w:r>
      <w:bookmarkStart w:id="13" w:name="_GoBack"/>
      <w:bookmarkEnd w:id="13"/>
      <w:bookmarkEnd w:id="10002"/>
    </w:p>
    <w:p w14:paraId="0D02DA27">
      <w:pPr>
        <w:spacing w:line="360" w:lineRule="auto"/>
        <w:jc w:val="center"/>
        <w:rPr>
          <w:rStyle w:val="16"/>
          <w:rFonts w:hint="eastAsia"/>
          <w:b/>
          <w:bCs/>
          <w:sz w:val="48"/>
          <w:szCs w:val="48"/>
          <w:lang w:val="en-US" w:eastAsia="zh-CN"/>
        </w:rPr>
        <w:snapToGrid w:val="0"/>
      </w:pPr>
    </w:p>
    <w:p w14:paraId="1F23610A">
      <w:pPr>
        <w:spacing w:line="360" w:lineRule="auto"/>
        <w:jc w:val="center"/>
        <w:rPr>
          <w:rStyle w:val="16"/>
          <w:rFonts w:hint="eastAsia"/>
          <w:b/>
          <w:bCs/>
          <w:sz w:val="48"/>
          <w:szCs w:val="48"/>
        </w:rPr>
        <w:snapToGrid w:val="0"/>
      </w:pPr>
    </w:p>
    <w:p w14:paraId="67464046">
      <w:pPr>
        <w:spacing w:line="360" w:lineRule="auto"/>
        <w:jc w:val="center"/>
        <w:rPr>
          <w:b/>
          <w:bCs/>
          <w:color w:val="0000FF"/>
          <w:sz w:val="48"/>
          <w:szCs w:val="48"/>
        </w:rPr>
        <w:snapToGrid w:val="0"/>
      </w:pPr>
      <w:r>
        <w:rPr>
          <w:rStyle w:val="16"/>
          <w:rFonts w:hint="eastAsia" w:ascii="Times New Roman" w:hAnsi="Times New Roman" w:eastAsia="宋体" w:cs="Times New Roman"/>
          <w:b/>
          <w:bCs/>
          <w:sz w:val="48"/>
          <w:szCs w:val="48"/>
        </w:rPr>
        <w:t xml:space="preserve">产品成本智能分析报告</w:t>
      </w:r>
    </w:p>
    <w:p w14:paraId="70D2CFA8">
      <w:pPr>
        <w:pStyle w:val="4"/>
        <w:spacing w:line="360" w:lineRule="auto"/>
        <w:ind w:left="0"/>
        <w:rPr>
          <w:rFonts w:hint="eastAsia" w:hAnsi="宋体"/>
        </w:rPr>
        <w:snapToGrid w:val="0"/>
      </w:pPr>
      <w:r>
        <w:rPr>
          <w:rFonts w:hint="eastAsia" w:hAnsi="Times New Roman" w:ascii="Times New Roman" w:eastAsia="宋体" w:cs="Times New Roman"/>
        </w:rPr>
        <w:t xml:space="preserve"> </w:t>
      </w:r>
    </w:p>
    <w:p w14:paraId="090B5046">
      <w:pPr>
        <w:pStyle w:val="4"/>
        <w:spacing w:line="360" w:lineRule="auto"/>
        <w:ind w:left="0"/>
        <w:rPr>
          <w:rFonts w:hint="eastAsia" w:hAnsi="宋体"/>
        </w:rPr>
        <w:snapToGrid w:val="0"/>
      </w:pPr>
    </w:p>
    <w:p w14:paraId="53C64F63">
      <w:pPr>
        <w:pStyle w:val="4"/>
        <w:spacing w:line="360" w:lineRule="auto"/>
        <w:ind w:left="0"/>
        <w:rPr>
          <w:rFonts w:hint="eastAsia" w:hAnsi="宋体"/>
        </w:rPr>
        <w:snapToGrid w:val="0"/>
      </w:pPr>
    </w:p>
    <w:p w14:paraId="551A03F5">
      <w:pPr>
        <w:pStyle w:val="4"/>
        <w:spacing w:line="360" w:lineRule="auto"/>
        <w:ind w:left="0"/>
        <w:rPr>
          <w:rFonts w:hint="eastAsia" w:hAnsi="宋体"/>
        </w:rPr>
        <w:snapToGrid w:val="0"/>
      </w:pPr>
    </w:p>
    <w:p w14:paraId="7734755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  <w:snapToGrid w:val="0"/>
      </w:pPr>
      <w:bookmarkStart w:id="0" w:name="_Toc415912152"/>
      <w:bookmarkStart w:id="1" w:name="_Toc7317897"/>
      <w:bookmarkStart w:id="2" w:name="_Toc7318567"/>
      <w:bookmarkStart w:id="3" w:name="_Toc509606282"/>
      <w:bookmarkStart w:id="4" w:name="_Toc449934797"/>
    </w:p>
    <w:p w14:paraId="354F5CD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  <w:snapToGrid w:val="0"/>
      </w:pPr>
    </w:p>
    <w:p w14:paraId="485F19F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  <w:snapToGrid w:val="0"/>
      </w:pPr>
    </w:p>
    <w:p w14:paraId="43612FAD">
      <w:pPr>
        <w:spacing w:before="800" w:after="120" w:line="360" w:lineRule="auto"/>
        <w:ind w:left="0"/>
        <w:jc w:val="left"/>
        <w:rPr>
          <w:rFonts w:hint="eastAsia" w:ascii="微软雅黑" w:hAnsi="微软雅黑" w:eastAsia="微软雅黑" w:cs="微软雅黑"/>
        </w:rPr>
        <w:snapToGrid w:val="0"/>
      </w:pPr>
      <w:r>
        <w:rPr>
          <w:rFonts w:hint="eastAsia" w:ascii="Times New Roman" w:hAnsi="Times New Roman" w:eastAsia="宋体" w:cs="Times New Roman"/>
          <w:b/>
          <w:sz w:val="22"/>
        </w:rPr>
        <w:t>文件版本： V3.0</w:t>
      </w:r>
    </w:p>
    <w:p w14:paraId="22868FAB">
      <w:bookmarkStart w:id="10015" w:name="YH_c282ade0_15"/>
      <w:pPr>
        <w:spacing w:before="120" w:after="120" w:line="360" w:lineRule="auto"/>
        <w:ind w:left="0" w:firstLine="420"/>
        <w:jc w:val="left"/>
        <w:rPr>
          <w:rFonts w:hint="eastAsia" w:ascii="微软雅黑" w:hAnsi="微软雅黑" w:eastAsia="微软雅黑" w:cs="微软雅黑"/>
        </w:rPr>
        <w:snapToGrid w:val="0"/>
      </w:pPr>
      <w:r>
        <w:rPr>
          <w:rFonts w:hint="eastAsia" w:ascii="Times New Roman" w:hAnsi="Times New Roman" w:eastAsia="宋体" w:cs="Times New Roman"/>
          <w:b/>
          <w:sz w:val="22"/>
        </w:rPr>
        <w:t xml:space="preserve">编制日期： 2026-09-24</w:t>
      </w:r>
      <w:r>
        <w:rPr>
          <w:rFonts w:hint="eastAsia" w:ascii="Times New Roman" w:hAnsi="Times New Roman" w:eastAsia="宋体" w:cs="Times New Roman"/>
          <w:sz w:val="22"/>
        </w:rPr>
      </w:r>
      <w:bookmarkEnd w:id="10015"/>
    </w:p>
    <w:p w14:paraId="6A3D3DEC">
      <w:pPr>
        <w:spacing w:before="120" w:after="120" w:line="360" w:lineRule="auto"/>
        <w:ind w:left="0" w:firstLine="420"/>
        <w:jc w:val="left"/>
        <w:rPr>
          <w:rFonts w:hint="eastAsia" w:ascii="微软雅黑" w:hAnsi="微软雅黑" w:eastAsia="微软雅黑" w:cs="微软雅黑"/>
        </w:rPr>
        <w:snapToGrid w:val="0"/>
      </w:pPr>
      <w:r>
        <w:rPr>
          <w:rFonts w:hint="eastAsia" w:ascii="Times New Roman" w:hAnsi="Times New Roman" w:eastAsia="宋体" w:cs="Times New Roman"/>
          <w:b/>
          <w:sz w:val="22"/>
        </w:rPr>
        <w:t>编制单位：</w:t>
      </w:r>
      <w:r>
        <w:rPr>
          <w:rFonts w:hint="eastAsia" w:ascii="Times New Roman" w:hAnsi="Times New Roman" w:eastAsia="宋体" w:cs="Times New Roman"/>
          <w:sz w:val="22"/>
        </w:rPr>
        <w:t xml:space="preserve"> 重庆创灵境数字技术有限公司</w:t>
      </w:r>
    </w:p>
    <w:p w14:paraId="5C4525E1">
      <w:pPr>
        <w:pageBreakBefore/>
        <w:spacing w:line="360" w:lineRule="auto"/>
        <w:rPr>
          <w:rFonts w:hint="eastAsia" w:ascii="宋体" w:hAnsi="宋体"/>
          <w:b/>
          <w:bCs/>
        </w:rPr>
        <w:snapToGrid w:val="0"/>
      </w:pPr>
      <w:r>
        <w:rPr>
          <w:rFonts w:hint="eastAsia" w:ascii="Times New Roman" w:hAnsi="Times New Roman" w:eastAsia="宋体" w:cs="Times New Roman"/>
          <w:b/>
          <w:bCs/>
          <w:sz w:val="30"/>
          <w:szCs w:val="30"/>
        </w:rPr>
        <w:t>文档控制</w:t>
      </w:r>
      <w:bookmarkEnd w:id="0"/>
      <w:bookmarkEnd w:id="1"/>
      <w:bookmarkEnd w:id="2"/>
      <w:bookmarkEnd w:id="3"/>
      <w:bookmarkEnd w:id="4"/>
      <w:bookmarkStart w:id="5" w:name="_Toc449934798"/>
      <w:bookmarkStart w:id="6" w:name="_Toc7317898"/>
      <w:bookmarkStart w:id="7" w:name="_Toc415912153"/>
      <w:bookmarkStart w:id="8" w:name="_Toc7318568"/>
    </w:p>
    <w:p w14:paraId="3686E4F6">
      <w:pPr>
        <w:spacing w:line="360" w:lineRule="auto"/>
        <w:rPr>
          <w:rFonts w:hint="eastAsia" w:ascii="宋体" w:hAnsi="宋体"/>
          <w:b/>
          <w:bCs/>
        </w:rPr>
        <w:snapToGrid w:val="0"/>
      </w:pPr>
      <w:r>
        <w:rPr>
          <w:rFonts w:hint="eastAsia" w:ascii="Times New Roman" w:hAnsi="Times New Roman" w:eastAsia="宋体" w:cs="Times New Roman"/>
          <w:b/>
          <w:bCs/>
        </w:rPr>
        <w:t>版本记录</w:t>
      </w:r>
      <w:bookmarkEnd w:id="5"/>
      <w:bookmarkEnd w:id="6"/>
      <w:bookmarkEnd w:id="7"/>
      <w:bookmarkEnd w:id="8"/>
    </w:p>
    <w:tbl>
      <w:tblPr>
        <w:tblStyle w:val="11"/>
        <w:tblInd w:w="45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196"/>
        <w:gridCol w:w="1414"/>
        <w:gridCol w:w="1923"/>
        <w:gridCol w:w="2432"/>
      </w:tblGrid>
      <w:tr w14:paraId="56EB3084">
        <w:trPr>
          <w:cantSplit/>
          <w:tblHeader/>
        </w:trPr>
        <w:tc>
          <w:tcPr>
            <w:tcBorders>
              <w:top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  <w:tcW w:w="3196" w:type="dxa"/>
          </w:tcPr>
          <w:p w14:paraId="69AD8A79">
            <w:pPr>
              <w:spacing w:line="360" w:lineRule="auto"/>
              <w:jc w:val="center"/>
              <w:rPr>
                <w:rFonts w:hint="eastAsia" w:hAnsi="宋体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 xml:space="preserve"> 日期</w:t>
            </w:r>
          </w:p>
        </w:tc>
        <w:tc>
          <w:tcPr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  <w:tcW w:w="1414" w:type="dxa"/>
          </w:tcPr>
          <w:p w14:paraId="44193883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作者</w:t>
            </w:r>
          </w:p>
        </w:tc>
        <w:tc>
          <w:tcPr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  <w:tcW w:w="1923" w:type="dxa"/>
          </w:tcPr>
          <w:p w14:paraId="38CAF851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版本号</w:t>
            </w:r>
          </w:p>
        </w:tc>
        <w:tc>
          <w:tcPr>
            <w:tcBorders>
              <w:top w:val="single" w:color="auto" w:sz="12" w:space="0"/>
              <w:left w:val="single" w:color="auto" w:sz="2" w:space="0"/>
              <w:bottom w:val="single" w:color="auto" w:sz="2" w:space="0"/>
            </w:tcBorders>
            <w:shd w:val="clear" w:color="auto" w:fill="CCCCCC"/>
            <w:noWrap w:val="0"/>
            <w:vAlign w:val="top"/>
            <w:tcW w:w="2432" w:type="dxa"/>
          </w:tcPr>
          <w:p w14:paraId="16720776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版本记录</w:t>
            </w:r>
          </w:p>
        </w:tc>
      </w:tr>
      <w:tr w14:paraId="743A86CA">
        <w:trPr>
          <w:cantSplit/>
          <w:tblHeader/>
        </w:trPr>
        <w:tc>
          <w:tcPr>
            <w:tcBorders>
              <w:top w:val="single" w:color="auto" w:sz="2" w:space="0"/>
            </w:tcBorders>
            <w:noWrap w:val="0"/>
            <w:vAlign w:val="top"/>
            <w:tcW w:w="3196" w:type="dxa"/>
          </w:tcPr>
          <w:p>
            <w:bookmarkStart w:id="10025" w:name="YH_c282ade0_25"/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 xml:space="preserve">2026-09-24</w:t>
            </w:r>
            <w:bookmarkEnd w:id="10025"/>
          </w:p>
        </w:tc>
        <w:tc>
          <w:tcPr>
            <w:tcBorders>
              <w:top w:val="single" w:color="auto" w:sz="2" w:space="0"/>
            </w:tcBorders>
            <w:noWrap w:val="0"/>
            <w:vAlign w:val="top"/>
            <w:tcW w:w="1414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龚云</w:t>
            </w:r>
          </w:p>
        </w:tc>
        <w:tc>
          <w:tcPr>
            <w:tcBorders>
              <w:top w:val="single" w:color="auto" w:sz="2" w:space="0"/>
            </w:tcBorders>
            <w:noWrap w:val="0"/>
            <w:vAlign w:val="top"/>
            <w:tcW w:w="192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V3.0</w:t>
            </w:r>
          </w:p>
        </w:tc>
        <w:tc>
          <w:tcPr>
            <w:tcBorders>
              <w:top w:val="single" w:color="auto" w:sz="2" w:space="0"/>
            </w:tcBorders>
            <w:noWrap w:val="0"/>
            <w:vAlign w:val="top"/>
            <w:tcW w:w="243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初版</w:t>
            </w:r>
          </w:p>
        </w:tc>
      </w:tr>
      <w:tr w14:paraId="2005E24F">
        <w:trPr>
          <w:cantSplit/>
          <w:tblHeader/>
        </w:trPr>
        <w:tc>
          <w:tcPr>
            <w:shd w:val="clear" w:color="auto" w:fill="auto"/>
            <w:noWrap w:val="0"/>
            <w:vAlign w:val="top"/>
            <w:tcW w:w="3196" w:type="dxa"/>
          </w:tcPr>
          <w:p w14:paraId="70ECA7FA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shd w:val="clear" w:color="auto" w:fill="auto"/>
            <w:noWrap w:val="0"/>
            <w:vAlign w:val="top"/>
            <w:tcW w:w="1414" w:type="dxa"/>
          </w:tcPr>
          <w:p w14:paraId="36A1C0A0">
            <w:pPr>
              <w:pStyle w:val="18"/>
              <w:spacing w:line="360" w:lineRule="auto"/>
              <w:jc w:val="left"/>
              <w:rPr>
                <w:rFonts w:hint="eastAsia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shd w:val="clear" w:color="auto" w:fill="auto"/>
            <w:noWrap w:val="0"/>
            <w:vAlign w:val="top"/>
            <w:tcW w:w="1923" w:type="dxa"/>
          </w:tcPr>
          <w:p w14:paraId="1D8485AB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shd w:val="clear" w:color="auto" w:fill="auto"/>
            <w:noWrap w:val="0"/>
            <w:vAlign w:val="top"/>
            <w:tcW w:w="2432" w:type="dxa"/>
          </w:tcPr>
          <w:p w14:paraId="7D01996A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</w:tr>
      <w:tr w14:paraId="3A5D17AC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2212FCF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640C4DA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13B9F1D6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47D65283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201518EC">
        <w:trPr>
          <w:cantSplit/>
          <w:tblHeader/>
        </w:trPr>
        <w:tc>
          <w:tcPr>
            <w:noWrap w:val="0"/>
            <w:vAlign w:val="top"/>
            <w:shd w:fill="F7F7F7"/>
            <w:tcW w:w="3196" w:type="dxa"/>
          </w:tcPr>
          <w:p w14:paraId="318F629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414" w:type="dxa"/>
          </w:tcPr>
          <w:p w14:paraId="320D3FD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923" w:type="dxa"/>
          </w:tcPr>
          <w:p w14:paraId="1C2F60C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432" w:type="dxa"/>
          </w:tcPr>
          <w:p w14:paraId="5A8BD8C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22ADF9FE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01DC88B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43B8E507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3DCCDA11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60ED05B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61800C29">
        <w:trPr>
          <w:cantSplit/>
          <w:tblHeader/>
        </w:trPr>
        <w:tc>
          <w:tcPr>
            <w:noWrap w:val="0"/>
            <w:vAlign w:val="top"/>
            <w:shd w:fill="F7F7F7"/>
            <w:tcW w:w="3196" w:type="dxa"/>
          </w:tcPr>
          <w:p w14:paraId="3FD6324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414" w:type="dxa"/>
          </w:tcPr>
          <w:p w14:paraId="0EC9459C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923" w:type="dxa"/>
          </w:tcPr>
          <w:p w14:paraId="4C4AB1B4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432" w:type="dxa"/>
          </w:tcPr>
          <w:p w14:paraId="7AAD76F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7CA34497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228427E0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6B8DF03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68746AAC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72A3BF5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1EEDE0F5">
        <w:trPr>
          <w:cantSplit/>
          <w:tblHeader/>
        </w:trPr>
        <w:tc>
          <w:tcPr>
            <w:noWrap w:val="0"/>
            <w:vAlign w:val="top"/>
            <w:shd w:fill="F7F7F7"/>
            <w:tcW w:w="3196" w:type="dxa"/>
          </w:tcPr>
          <w:p w14:paraId="342DE313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414" w:type="dxa"/>
          </w:tcPr>
          <w:p w14:paraId="3FDAA6E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923" w:type="dxa"/>
          </w:tcPr>
          <w:p w14:paraId="3F5539F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432" w:type="dxa"/>
          </w:tcPr>
          <w:p w14:paraId="3D34456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64559AE2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1F8720D8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345A15E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3C17F69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0A5FD95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</w:tbl>
    <w:p w14:paraId="231C34DB">
      <w:pPr>
        <w:spacing w:before="120" w:after="120" w:line="360" w:lineRule="auto"/>
        <w:rPr>
          <w:rFonts w:hint="eastAsia" w:ascii="宋体" w:hAnsi="宋体"/>
          <w:b/>
        </w:rPr>
        <w:snapToGrid w:val="0"/>
      </w:pPr>
      <w:r>
        <w:rPr>
          <w:rFonts w:hint="eastAsia" w:ascii="Times New Roman" w:hAnsi="Times New Roman" w:eastAsia="宋体" w:cs="Times New Roman"/>
          <w:b/>
        </w:rPr>
        <w:t>查阅</w:t>
      </w:r>
    </w:p>
    <w:tbl>
      <w:tblPr>
        <w:tblStyle w:val="11"/>
        <w:tblInd w:w="46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483"/>
        <w:gridCol w:w="4482"/>
      </w:tblGrid>
      <w:tr w14:paraId="0F6BE266">
        <w:trPr>
          <w:cantSplit/>
          <w:tblHeader/>
        </w:trPr>
        <w:tc>
          <w:tcPr>
            <w:tcBorders>
              <w:top w:val="single" w:color="auto" w:sz="12" w:space="0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  <w:tcW w:w="4483" w:type="dxa"/>
          </w:tcPr>
          <w:p w14:paraId="7C8011D1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名字</w:t>
            </w:r>
          </w:p>
        </w:tc>
        <w:tc>
          <w:tcPr>
            <w:tcBorders>
              <w:top w:val="single" w:color="auto" w:sz="12" w:space="0"/>
              <w:left w:val="nil"/>
              <w:bottom w:val="single" w:color="auto" w:sz="6" w:space="0"/>
            </w:tcBorders>
            <w:shd w:val="clear" w:color="auto" w:fill="CCCCCC"/>
            <w:noWrap w:val="0"/>
            <w:vAlign w:val="top"/>
            <w:tcW w:w="4482" w:type="dxa"/>
          </w:tcPr>
          <w:p w14:paraId="6AA9785E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备注</w:t>
            </w:r>
          </w:p>
        </w:tc>
      </w:tr>
      <w:tr w14:paraId="180E69F8">
        <w:trPr>
          <w:cantSplit/>
          <w:tblHeader/>
        </w:trPr>
        <w:tc>
          <w:tcPr>
            <w:tcBorders>
              <w:top w:val="nil"/>
            </w:tcBorders>
            <w:noWrap w:val="0"/>
            <w:vAlign w:val="top"/>
            <w:tcW w:w="4483" w:type="dxa"/>
          </w:tcPr>
          <w:p w14:paraId="365DF85F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tcBorders>
              <w:top w:val="nil"/>
            </w:tcBorders>
            <w:noWrap w:val="0"/>
            <w:vAlign w:val="top"/>
            <w:tcW w:w="4482" w:type="dxa"/>
          </w:tcPr>
          <w:p w14:paraId="5AFA984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625566EF">
        <w:trPr>
          <w:cantSplit/>
          <w:tblHeader/>
        </w:trPr>
        <w:tc>
          <w:tcPr>
            <w:noWrap w:val="0"/>
            <w:vAlign w:val="top"/>
            <w:shd w:fill="F7F7F7"/>
            <w:tcW w:w="4483" w:type="dxa"/>
          </w:tcPr>
          <w:p w14:paraId="665B14E0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noWrap w:val="0"/>
            <w:vAlign w:val="top"/>
            <w:shd w:fill="F7F7F7"/>
            <w:tcW w:w="4482" w:type="dxa"/>
          </w:tcPr>
          <w:p w14:paraId="56923780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45B8A40B">
        <w:trPr>
          <w:cantSplit/>
          <w:tblHeader/>
        </w:trPr>
        <w:tc>
          <w:tcPr>
            <w:noWrap w:val="0"/>
            <w:vAlign w:val="top"/>
            <w:tcW w:w="4483" w:type="dxa"/>
          </w:tcPr>
          <w:p w14:paraId="01AFE105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noWrap w:val="0"/>
            <w:vAlign w:val="top"/>
            <w:tcW w:w="4482" w:type="dxa"/>
          </w:tcPr>
          <w:p w14:paraId="5C1DB3D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2C7CC3E5">
        <w:trPr>
          <w:cantSplit/>
          <w:tblHeader/>
        </w:trPr>
        <w:tc>
          <w:tcPr>
            <w:noWrap w:val="0"/>
            <w:vAlign w:val="top"/>
            <w:shd w:fill="F7F7F7"/>
            <w:tcW w:w="4483" w:type="dxa"/>
          </w:tcPr>
          <w:p w14:paraId="21C55DBD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4482" w:type="dxa"/>
          </w:tcPr>
          <w:p w14:paraId="2311B1BD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</w:tbl>
    <w:p w14:paraId="25509D95">
      <w:pPr>
        <w:spacing w:before="120" w:after="120" w:line="360" w:lineRule="auto"/>
        <w:rPr>
          <w:rFonts w:hint="eastAsia" w:hAnsi="宋体"/>
        </w:rPr>
        <w:snapToGrid w:val="0"/>
      </w:pPr>
      <w:r>
        <w:rPr>
          <w:rFonts w:hint="eastAsia" w:ascii="Times New Roman" w:hAnsi="Times New Roman" w:eastAsia="宋体" w:cs="Times New Roman"/>
          <w:b/>
        </w:rPr>
        <w:t>分发</w:t>
      </w:r>
    </w:p>
    <w:tbl>
      <w:tblPr>
        <w:tblStyle w:val="11"/>
        <w:tblInd w:w="44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359"/>
        <w:gridCol w:w="2803"/>
        <w:gridCol w:w="2803"/>
      </w:tblGrid>
      <w:tr w14:paraId="1C3BF9B9">
        <w:trPr>
          <w:cantSplit/>
          <w:tblHeader/>
        </w:trPr>
        <w:tc>
          <w:tcPr>
            <w:tcBorders>
              <w:top w:val="single" w:color="auto" w:sz="12" w:space="0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  <w:tcW w:w="3359" w:type="dxa"/>
          </w:tcPr>
          <w:p w14:paraId="54D512DD">
            <w:pPr>
              <w:pStyle w:val="17"/>
              <w:spacing w:line="360" w:lineRule="auto"/>
              <w:jc w:val="center"/>
              <w:rPr>
                <w:rFonts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抄送</w:t>
            </w:r>
            <w:r>
              <w:rPr>
                <w:rFonts w:hAnsi="Times New Roman" w:ascii="Times New Roman" w:eastAsia="宋体" w:cs="Times New Roman"/>
                <w:b/>
                <w:sz w:val="18"/>
              </w:rPr>
              <w:t>.</w:t>
            </w:r>
          </w:p>
        </w:tc>
        <w:tc>
          <w:tcPr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  <w:tcW w:w="2803" w:type="dxa"/>
          </w:tcPr>
          <w:p w14:paraId="29B807E6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名字</w:t>
            </w:r>
          </w:p>
        </w:tc>
        <w:tc>
          <w:tcPr>
            <w:tcBorders>
              <w:top w:val="single" w:color="auto" w:sz="12" w:space="0"/>
              <w:left w:val="nil"/>
              <w:bottom w:val="single" w:color="auto" w:sz="6" w:space="0"/>
            </w:tcBorders>
            <w:shd w:val="clear" w:color="auto" w:fill="CCCCCC"/>
            <w:noWrap w:val="0"/>
            <w:vAlign w:val="top"/>
            <w:tcW w:w="2803" w:type="dxa"/>
          </w:tcPr>
          <w:p w14:paraId="0CD354C9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意见</w:t>
            </w:r>
          </w:p>
        </w:tc>
      </w:tr>
      <w:tr w14:paraId="6AA0833E">
        <w:trPr>
          <w:cantSplit/>
          <w:tblHeader/>
        </w:trPr>
        <w:tc>
          <w:tcPr>
            <w:tcBorders>
              <w:top w:val="nil"/>
            </w:tcBorders>
            <w:noWrap w:val="0"/>
            <w:vAlign w:val="top"/>
            <w:tcW w:w="3359" w:type="dxa"/>
          </w:tcPr>
          <w:p w14:paraId="6A61276D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tcBorders>
              <w:top w:val="nil"/>
            </w:tcBorders>
            <w:noWrap w:val="0"/>
            <w:vAlign w:val="top"/>
            <w:tcW w:w="2803" w:type="dxa"/>
          </w:tcPr>
          <w:p w14:paraId="49ECFE7D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tcBorders>
              <w:top w:val="nil"/>
            </w:tcBorders>
            <w:noWrap w:val="0"/>
            <w:vAlign w:val="top"/>
            <w:tcW w:w="2803" w:type="dxa"/>
          </w:tcPr>
          <w:p w14:paraId="7541E47C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684AAA82">
        <w:trPr>
          <w:cantSplit/>
          <w:tblHeader/>
        </w:trPr>
        <w:tc>
          <w:tcPr>
            <w:noWrap w:val="0"/>
            <w:vAlign w:val="top"/>
            <w:shd w:fill="F7F7F7"/>
            <w:tcW w:w="3359" w:type="dxa"/>
          </w:tcPr>
          <w:p w14:paraId="529D1FBF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5B4631C5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295FF64E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0E6AE6B4">
        <w:trPr>
          <w:cantSplit/>
          <w:tblHeader/>
        </w:trPr>
        <w:tc>
          <w:tcPr>
            <w:noWrap w:val="0"/>
            <w:vAlign w:val="top"/>
            <w:tcW w:w="3359" w:type="dxa"/>
          </w:tcPr>
          <w:p w14:paraId="2F2B7A8C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178A8516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5DD6E0B9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562FEB5E">
        <w:trPr>
          <w:cantSplit/>
          <w:tblHeader/>
        </w:trPr>
        <w:tc>
          <w:tcPr>
            <w:noWrap w:val="0"/>
            <w:vAlign w:val="top"/>
            <w:shd w:fill="F7F7F7"/>
            <w:tcW w:w="3359" w:type="dxa"/>
          </w:tcPr>
          <w:p w14:paraId="2D033772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551D9B8D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43416F8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5321FE2F">
        <w:trPr>
          <w:cantSplit/>
          <w:tblHeader/>
        </w:trPr>
        <w:tc>
          <w:tcPr>
            <w:noWrap w:val="0"/>
            <w:vAlign w:val="top"/>
            <w:tcW w:w="3359" w:type="dxa"/>
          </w:tcPr>
          <w:p w14:paraId="219A0FD9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405598D9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1BA91B40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0584DCCE">
        <w:trPr>
          <w:cantSplit/>
          <w:tblHeader/>
        </w:trPr>
        <w:tc>
          <w:tcPr>
            <w:noWrap w:val="0"/>
            <w:vAlign w:val="top"/>
            <w:shd w:fill="F7F7F7"/>
            <w:tcW w:w="3359" w:type="dxa"/>
          </w:tcPr>
          <w:p w14:paraId="661A0373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73C24080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12FAF7B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</w:tbl>
    <w:p w14:paraId="1668B7F8">
      <w:pPr>
        <w:spacing w:line="360" w:lineRule="auto"/>
        <w:jc w:val="center"/>
        <w:rPr>
          <w:rFonts w:hint="eastAsia" w:ascii="宋体" w:hAnsi="宋体"/>
          <w:b/>
          <w:bCs/>
          <w:sz w:val="30"/>
        </w:rPr>
        <w:snapToGrid w:val="0"/>
      </w:pPr>
    </w:p>
    <w:p w14:paraId="12075237">
      <w:pPr>
        <w:pageBreakBefore/>
        <w:spacing w:before="120" w:after="120" w:line="360" w:lineRule="auto"/>
        <w:rPr>
          <w:rFonts w:ascii="宋体" w:hAnsi="宋体"/>
        </w:rPr>
        <w:snapToGrid w:val="0"/>
      </w:pPr>
      <w:r>
        <w:rPr>
          <w:rFonts w:hint="eastAsia" w:ascii="Times New Roman" w:hAnsi="Times New Roman" w:eastAsia="宋体" w:cs="Times New Roman"/>
          <w:b/>
          <w:lang w:val="en-US" w:eastAsia="zh-CN"/>
        </w:rPr>
        <w:t>阅读指南</w:t>
      </w:r>
    </w:p>
    <w:p w14:paraId="7377E6A9">
      <w:pPr>
        <w:widowControl/>
        <w:suppressLineNumbers w:val="0"/>
        <w:spacing w:line="360" w:lineRule="auto"/>
        <w:ind w:firstLine="420"/>
        <w:jc w:val="left"/>
        <w:rPr>
          <w:rFonts w:hint="eastAsia" w:ascii="等线" w:hAnsi="等线" w:eastAsia="等线" w:cs="等线"/>
          <w:kern w:val="0"/>
          <w:sz w:val="21"/>
          <w:szCs w:val="21"/>
          <w:lang w:val="en-US" w:eastAsia="zh-CN" w:bidi="ar"/>
        </w:rPr>
        <w:snapToGrid w:val="0"/>
      </w:pP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为了让不同角色的读者快速抓住重点，建议按以下路径阅读：</w:t>
      </w:r>
    </w:p>
    <w:p w14:paraId="706A3E79">
      <w:pPr>
        <w:widowControl/>
        <w:suppressLineNumbers w:val="0"/>
        <w:spacing w:line="360" w:lineRule="auto"/>
        <w:jc w:val="left"/>
        <w:rPr>
          <w:rFonts w:hint="eastAsia" w:ascii="等线" w:hAnsi="等线" w:eastAsia="等线" w:cs="等线"/>
          <w:kern w:val="0"/>
          <w:sz w:val="21"/>
          <w:szCs w:val="21"/>
          <w:lang w:val="en-US" w:eastAsia="zh-CN" w:bidi="ar"/>
        </w:rPr>
        <w:snapToGrid w:val="0"/>
      </w:pPr>
    </w:p>
    <w:tbl>
      <w:tblPr>
        <w:tblStyle w:val="11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989"/>
        <w:gridCol w:w="2988"/>
        <w:gridCol w:w="2988"/>
      </w:tblGrid>
      <w:tr w14:paraId="23EB7635">
        <w:trPr>
          <w:trHeight w:val="580" w:hRule="atLeast"/>
          <w:tblHeader/>
          <w:cantSplit/>
        </w:trPr>
        <w:tc>
          <w:tcPr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  <w:tcW w:w="2989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</w:r>
            <w:r>
              <w:rPr>
                <w:rFonts w:ascii="Times New Roman" w:hAnsi="Times New Roman" w:eastAsia="宋体" w:cs="Times New Roman"/>
                <w:b/>
                <w:sz w:val="18"/>
              </w:rPr>
              <w:t>读者角色</w:t>
            </w:r>
          </w:p>
        </w:tc>
        <w:tc>
          <w:tcPr>
            <w:tcBorders>
              <w:top w:val="single" w:color="DEE0E3" w:sz="8" w:space="0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  <w:tcW w:w="298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</w:r>
            <w:r>
              <w:rPr>
                <w:rFonts w:ascii="Times New Roman" w:hAnsi="Times New Roman" w:eastAsia="宋体" w:cs="Times New Roman"/>
                <w:b/>
                <w:sz w:val="18"/>
              </w:rPr>
              <w:t>阅读重点</w:t>
            </w:r>
          </w:p>
        </w:tc>
        <w:tc>
          <w:tcPr>
            <w:tcBorders>
              <w:top w:val="single" w:color="DEE0E3" w:sz="8" w:space="0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  <w:tcW w:w="298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</w:r>
            <w:r>
              <w:rPr>
                <w:rFonts w:ascii="Times New Roman" w:hAnsi="Times New Roman" w:eastAsia="宋体" w:cs="Times New Roman"/>
                <w:b/>
                <w:sz w:val="18"/>
              </w:rPr>
              <w:t>目的</w:t>
            </w:r>
          </w:p>
        </w:tc>
      </w:tr>
      <w:tr w14:paraId="649EAFD5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管理层/总经理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 xml:space="preserve">三、成本要素明细分析、四、重点产品专项分析、五、对标分析、六、总结与建议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了解现状痛点、方案核心价值、路线建议</w:t>
            </w:r>
          </w:p>
        </w:tc>
      </w:tr>
      <w:tr w14:paraId="5B759299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采购总监/业务负责人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全文通读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了解具体业务方案、自动化场景、实施效果</w:t>
            </w:r>
          </w:p>
        </w:tc>
      </w:tr>
      <w:tr w14:paraId="19E38308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IT/实施团队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全文通读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 xml:space="preserve">维护系统配置与账号权限</w:t>
            </w:r>
          </w:p>
        </w:tc>
      </w:tr>
      <w:tr w14:paraId="5D9B84E5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财务/采购决策者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六、总结与建议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评估实施周期与预算，决策推进</w:t>
            </w:r>
          </w:p>
        </w:tc>
      </w:tr>
    </w:tbl>
    <w:p w14:paraId="1EE548AA">
      <w:pPr>
        <w:widowControl/>
        <w:suppressLineNumbers w:val="0"/>
        <w:spacing w:line="360" w:lineRule="auto"/>
        <w:ind w:firstLine="420"/>
        <w:jc w:val="left"/>
        <w:rPr>
          <w:rFonts w:hint="eastAsia" w:ascii="等线" w:hAnsi="等线" w:eastAsia="等线" w:cs="等线"/>
          <w:sz w:val="21"/>
          <w:szCs w:val="21"/>
        </w:rPr>
        <w:snapToGrid w:val="0"/>
      </w:pPr>
      <w:r>
        <w:rPr>
          <w:rFonts w:hint="eastAsia" w:ascii="Times New Roman" w:hAnsi="Times New Roman" w:eastAsia="宋体" w:cs="Times New Roman"/>
          <w:b/>
          <w:bCs/>
          <w:kern w:val="0"/>
          <w:sz w:val="21"/>
          <w:szCs w:val="21"/>
          <w:lang w:val="en-US" w:eastAsia="zh-CN" w:bidi="ar"/>
        </w:rPr>
        <w:t>关键提示：</w:t>
      </w: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方案中所有功能模块、看板、分析模型均为“可选组件”，并非一次性全部实施。方案在于整体设计，根据情况按需选择、最后分步实施切实可行。</w:t>
      </w:r>
    </w:p>
    <w:p w14:paraId="15E5B084">
      <w:bookmarkStart w:id="30000" w:name="YH_TOC"/>
      <w:pPr>
        <w:pStyle w:val="19"/>
        <w:pageBreakBefore/>
        <w:spacing w:before="360" w:after="120" w:line="360" w:lineRule="auto"/>
        <w:jc w:val="center"/>
        <w:snapToGrid w:val="0"/>
      </w:pPr>
      <w:r>
        <w:rPr>
          <w:rFonts w:ascii="Times New Roman" w:hAnsi="Times New Roman" w:eastAsia="宋体" w:cs="Times New Roman"/>
          <w:lang w:val="zh-CN"/>
        </w:rPr>
        <w:t>目</w:t>
      </w:r>
      <w:r>
        <w:rPr>
          <w:rFonts w:hint="eastAsia" w:ascii="Times New Roman" w:hAnsi="Times New Roman" w:eastAsia="宋体" w:cs="Times New Roman"/>
        </w:rPr>
        <w:t xml:space="preserve">     </w:t>
      </w:r>
      <w:r>
        <w:rPr>
          <w:rFonts w:ascii="Times New Roman" w:hAnsi="Times New Roman" w:eastAsia="宋体" w:cs="Times New Roman"/>
          <w:lang w:val="zh-CN"/>
        </w:rPr>
        <w:t>录</w:t>
      </w:r>
    </w:p>
    <w:p>
      <w:pPr>
        <w:pStyle w:val="TOC1"/>
        <w:tabs>
          <w:tab w:val="right" w:leader="dot" w:pos="22923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TOC \o "1-4" \h \z \u </w:instrText>
      </w:r>
      <w:r>
        <w:rPr>
          <w:rFonts w:ascii="Times New Roman" w:hAnsi="Times New Roman" w:eastAsia="宋体" w:cs="Times New Roman"/>
        </w:rPr>
        <w:fldChar w:fldCharType="separate"/>
      </w:r>
      <w:hyperlink w:anchor="YH_SEC_T0" w:history="1">
        <w:r>
          <w:t xml:space="preserve">一、封面与基本信息</w:t>
        </w:r>
        <w:r>
          <w:tab/>
        </w:r>
        <w:r>
          <w:t xml:space="preserve">第6页</w:t>
        </w:r>
      </w:hyperlink>
    </w:p>
    <w:p>
      <w:pPr>
        <w:pStyle w:val="TOC1"/>
        <w:tabs>
          <w:tab w:val="right" w:leader="dot" w:pos="22923"/>
        </w:tabs>
      </w:pPr>
      <w:hyperlink w:anchor="YH_SEC_T1" w:history="1">
        <w:r>
          <w:t xml:space="preserve">二、总成本概览</w:t>
        </w:r>
        <w:r>
          <w:tab/>
        </w:r>
        <w:r>
          <w:t xml:space="preserve">第6页</w:t>
        </w:r>
      </w:hyperlink>
    </w:p>
    <w:p>
      <w:pPr>
        <w:pStyle w:val="TOC2"/>
        <w:tabs>
          <w:tab w:val="right" w:leader="dot" w:pos="22923"/>
        </w:tabs>
      </w:pPr>
      <w:hyperlink w:anchor="YH_SEC_T2" w:history="1">
        <w:r>
          <w:t xml:space="preserve">2.1 核心指标一览</w:t>
        </w:r>
        <w:r>
          <w:tab/>
        </w:r>
        <w:r>
          <w:t xml:space="preserve">第6页</w:t>
        </w:r>
      </w:hyperlink>
    </w:p>
    <w:p>
      <w:pPr>
        <w:pStyle w:val="TOC2"/>
        <w:tabs>
          <w:tab w:val="right" w:leader="dot" w:pos="22923"/>
        </w:tabs>
      </w:pPr>
      <w:hyperlink w:anchor="YH_SEC_T3" w:history="1">
        <w:r>
          <w:t xml:space="preserve">2.2 成本结构</w:t>
        </w:r>
        <w:r>
          <w:tab/>
        </w:r>
        <w:r>
          <w:t xml:space="preserve">第6页</w:t>
        </w:r>
      </w:hyperlink>
    </w:p>
    <w:p>
      <w:pPr>
        <w:pStyle w:val="TOC1"/>
        <w:tabs>
          <w:tab w:val="right" w:leader="dot" w:pos="22923"/>
        </w:tabs>
      </w:pPr>
      <w:hyperlink w:anchor="YH_SEC_T4" w:history="1">
        <w:r>
          <w:t xml:space="preserve">三、成本要素明细分析</w:t>
        </w:r>
        <w:r>
          <w:tab/>
        </w:r>
        <w:r>
          <w:t xml:space="preserve">第8页</w:t>
        </w:r>
      </w:hyperlink>
    </w:p>
    <w:p>
      <w:pPr>
        <w:pStyle w:val="TOC2"/>
        <w:tabs>
          <w:tab w:val="right" w:leader="dot" w:pos="22923"/>
        </w:tabs>
      </w:pPr>
      <w:hyperlink w:anchor="YH_SEC_T5" w:history="1">
        <w:r>
          <w:t xml:space="preserve">3.1 直接材料分析</w:t>
        </w:r>
        <w:r>
          <w:tab/>
        </w:r>
        <w:r>
          <w:t xml:space="preserve">第8页</w:t>
        </w:r>
      </w:hyperlink>
    </w:p>
    <w:p>
      <w:pPr>
        <w:pStyle w:val="TOC2"/>
        <w:tabs>
          <w:tab w:val="right" w:leader="dot" w:pos="22923"/>
        </w:tabs>
      </w:pPr>
      <w:hyperlink w:anchor="YH_SEC_T6" w:history="1">
        <w:r>
          <w:t xml:space="preserve">3.2 直接人工分析</w:t>
        </w:r>
        <w:r>
          <w:tab/>
        </w:r>
        <w:r>
          <w:t xml:space="preserve">第10页</w:t>
        </w:r>
      </w:hyperlink>
    </w:p>
    <w:p>
      <w:pPr>
        <w:pStyle w:val="TOC2"/>
        <w:tabs>
          <w:tab w:val="right" w:leader="dot" w:pos="22923"/>
        </w:tabs>
      </w:pPr>
      <w:hyperlink w:anchor="YH_SEC_T7" w:history="1">
        <w:r>
          <w:t xml:space="preserve">3.3 制造费用分析</w:t>
        </w:r>
        <w:r>
          <w:tab/>
        </w:r>
        <w:r>
          <w:t xml:space="preserve">第10页</w:t>
        </w:r>
      </w:hyperlink>
    </w:p>
    <w:p>
      <w:pPr>
        <w:pStyle w:val="TOC1"/>
        <w:tabs>
          <w:tab w:val="right" w:leader="dot" w:pos="22923"/>
        </w:tabs>
      </w:pPr>
      <w:hyperlink w:anchor="YH_SEC_T8" w:history="1">
        <w:r>
          <w:t xml:space="preserve">四、重点产品专项分析 — 银黄口服液</w:t>
        </w:r>
        <w:r>
          <w:tab/>
        </w:r>
        <w:r>
          <w:t xml:space="preserve">第11页</w:t>
        </w:r>
      </w:hyperlink>
    </w:p>
    <w:p>
      <w:pPr>
        <w:pStyle w:val="TOC2"/>
        <w:tabs>
          <w:tab w:val="right" w:leader="dot" w:pos="22923"/>
        </w:tabs>
      </w:pPr>
      <w:hyperlink w:anchor="YH_SEC_T9" w:history="1">
        <w:r>
          <w:t xml:space="preserve">4.1 近6个月单位成本趋势</w:t>
        </w:r>
        <w:r>
          <w:tab/>
        </w:r>
        <w:r>
          <w:t xml:space="preserve">第11页</w:t>
        </w:r>
      </w:hyperlink>
    </w:p>
    <w:p>
      <w:pPr>
        <w:pStyle w:val="TOC2"/>
        <w:tabs>
          <w:tab w:val="right" w:leader="dot" w:pos="22923"/>
        </w:tabs>
      </w:pPr>
      <w:hyperlink w:anchor="YH_SEC_T10" w:history="1">
        <w:r>
          <w:t xml:space="preserve">4.2 成本异常点排查</w:t>
        </w:r>
        <w:r>
          <w:tab/>
        </w:r>
        <w:r>
          <w:t xml:space="preserve">第11页</w:t>
        </w:r>
      </w:hyperlink>
    </w:p>
    <w:p>
      <w:pPr>
        <w:pStyle w:val="TOC2"/>
        <w:tabs>
          <w:tab w:val="right" w:leader="dot" w:pos="22923"/>
        </w:tabs>
      </w:pPr>
      <w:hyperlink w:anchor="YH_SEC_T11" w:history="1">
        <w:r>
          <w:t xml:space="preserve">4.3 关键原材料市场价格跟踪</w:t>
        </w:r>
        <w:r>
          <w:tab/>
        </w:r>
        <w:r>
          <w:t xml:space="preserve">第12页</w:t>
        </w:r>
      </w:hyperlink>
    </w:p>
    <w:p>
      <w:pPr>
        <w:pStyle w:val="TOC1"/>
        <w:tabs>
          <w:tab w:val="right" w:leader="dot" w:pos="22923"/>
        </w:tabs>
      </w:pPr>
      <w:hyperlink w:anchor="YH_SEC_T12" w:history="1">
        <w:r>
          <w:t xml:space="preserve">五、对标分析（与中药二厂）</w:t>
        </w:r>
        <w:r>
          <w:tab/>
        </w:r>
        <w:r>
          <w:t xml:space="preserve">第13页</w:t>
        </w:r>
      </w:hyperlink>
    </w:p>
    <w:p>
      <w:pPr>
        <w:pStyle w:val="TOC2"/>
        <w:tabs>
          <w:tab w:val="right" w:leader="dot" w:pos="22923"/>
        </w:tabs>
      </w:pPr>
      <w:hyperlink w:anchor="YH_SEC_T13" w:history="1">
        <w:r>
          <w:t xml:space="preserve">5.1 差异总览</w:t>
        </w:r>
        <w:r>
          <w:tab/>
        </w:r>
        <w:r>
          <w:t xml:space="preserve">第13页</w:t>
        </w:r>
      </w:hyperlink>
    </w:p>
    <w:p>
      <w:pPr>
        <w:pStyle w:val="TOC2"/>
        <w:tabs>
          <w:tab w:val="right" w:leader="dot" w:pos="22923"/>
        </w:tabs>
      </w:pPr>
      <w:hyperlink w:anchor="YH_SEC_T14" w:history="1">
        <w:r>
          <w:t xml:space="preserve">5.2 差异结构拆解</w:t>
        </w:r>
        <w:r>
          <w:tab/>
        </w:r>
        <w:r>
          <w:t xml:space="preserve">第13页</w:t>
        </w:r>
      </w:hyperlink>
    </w:p>
    <w:p>
      <w:pPr>
        <w:pStyle w:val="TOC2"/>
        <w:tabs>
          <w:tab w:val="right" w:leader="dot" w:pos="22923"/>
        </w:tabs>
      </w:pPr>
      <w:hyperlink w:anchor="YH_SEC_T15" w:history="1">
        <w:r>
          <w:t xml:space="preserve">5.3 差异归因分析</w:t>
        </w:r>
        <w:r>
          <w:tab/>
        </w:r>
        <w:r>
          <w:t xml:space="preserve">第14页</w:t>
        </w:r>
      </w:hyperlink>
    </w:p>
    <w:p>
      <w:pPr>
        <w:pStyle w:val="TOC1"/>
        <w:tabs>
          <w:tab w:val="right" w:leader="dot" w:pos="22923"/>
        </w:tabs>
      </w:pPr>
      <w:hyperlink w:anchor="YH_SEC_T16" w:history="1">
        <w:r>
          <w:t xml:space="preserve">六、总结与建议</w:t>
        </w:r>
        <w:r>
          <w:tab/>
        </w:r>
        <w:r>
          <w:t xml:space="preserve">第14页</w:t>
        </w:r>
      </w:hyperlink>
    </w:p>
    <w:p>
      <w:pPr>
        <w:pStyle w:val="TOC2"/>
        <w:tabs>
          <w:tab w:val="right" w:leader="dot" w:pos="22923"/>
        </w:tabs>
      </w:pPr>
      <w:hyperlink w:anchor="YH_SEC_T17" w:history="1">
        <w:r>
          <w:t xml:space="preserve">6.1 本月成本管理亮点</w:t>
        </w:r>
        <w:r>
          <w:tab/>
        </w:r>
        <w:r>
          <w:t xml:space="preserve">第14页</w:t>
        </w:r>
      </w:hyperlink>
    </w:p>
    <w:p>
      <w:pPr>
        <w:pStyle w:val="TOC2"/>
        <w:tabs>
          <w:tab w:val="right" w:leader="dot" w:pos="22923"/>
        </w:tabs>
      </w:pPr>
      <w:hyperlink w:anchor="YH_SEC_T18" w:history="1">
        <w:r>
          <w:t xml:space="preserve">6.2 需关注的问题</w:t>
        </w:r>
        <w:r>
          <w:tab/>
        </w:r>
        <w:r>
          <w:t xml:space="preserve">第14页</w:t>
        </w:r>
      </w:hyperlink>
    </w:p>
    <w:p>
      <w:pPr>
        <w:pStyle w:val="TOC2"/>
        <w:tabs>
          <w:tab w:val="right" w:leader="dot" w:pos="22923"/>
        </w:tabs>
      </w:pPr>
      <w:hyperlink w:anchor="YH_SEC_T19" w:history="1">
        <w:r>
          <w:t xml:space="preserve">6.3 改进建议</w:t>
        </w:r>
        <w:r>
          <w:tab/>
        </w:r>
        <w:r>
          <w:t xml:space="preserve">第14页</w:t>
        </w:r>
      </w:hyperlink>
    </w:p>
    <w:p>
      <w:pPr>
        <w:pStyle w:val="TOC2"/>
        <w:tabs>
          <w:tab w:val="right" w:leader="dot" w:pos="22923"/>
        </w:tabs>
      </w:pPr>
      <w:hyperlink w:anchor="YH_SEC_T20" w:history="1">
        <w:r>
          <w:t xml:space="preserve">6.4 整改任务清单（自动生成）</w:t>
        </w:r>
        <w:r>
          <w:tab/>
        </w:r>
        <w:r>
          <w:t xml:space="preserve">第15页</w:t>
        </w:r>
      </w:hyperlink>
      <w:r>
        <w:rPr>
          <w:rFonts w:ascii="Times New Roman" w:hAnsi="Times New Roman" w:eastAsia="宋体" w:cs="Times New Roman"/>
        </w:rPr>
        <w:fldChar w:fldCharType="end"/>
      </w:r>
    </w:p>
    <w:p>
      <w:pPr>
        <w:spacing w:before="120" w:line="360" w:lineRule="auto"/>
        <w:spacing w:after="0"/>
        <w:snapToGrid w:val="0"/>
      </w:pPr>
      <w:r>
        <w:rPr>
          <w:sz w:val="18"/>
          <w:color w:val="808080"/>
          <w:rFonts w:ascii="Times New Roman" w:hAnsi="Times New Roman" w:eastAsia="宋体" w:cs="Times New Roman"/>
        </w:rPr>
        <w:t xml:space="preserve">（若目录页码与实际分页有出入，可右键点击目录 → 更新域 → 更新整个目录。）</w:t>
      </w:r>
    </w:p>
    <w:p>
      <w:bookmarkStart w:id="10130" w:name="YH_c282ade0_130"/>
      <w:pPr>
        <w:pageBreakBefore/>
        <w:spacing w:line="360" w:lineRule="auto"/>
        <w:outlineLvl w:val="0"/>
        <w:snapToGrid w:val="0"/>
      </w:pPr>
      <w:r>
        <w:rPr>
          <w:rFonts w:ascii="Times New Roman" w:hAnsi="Times New Roman" w:eastAsia="宋体" w:cs="Times New Roman"/>
          <w:b/>
          <w:sz w:val="32"/>
        </w:rPr>
        <w:t xml:space="preserve">银黄口服液 月度成本分析报告</w:t>
      </w:r>
      <w:bookmarkEnd w:id="10130"/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报告编号：YH-7D89CC96（分析周期 2026-05）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人工审核：待审核。本次采用基础分析，原因解释待复核。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b/>
          <w:sz w:val="24"/>
        </w:rPr>
        <w:t>核心结论（5 项）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1. 总量：本期总成本 650180.00 元（产量 58000 盒），单位成本 11.21 元/盒，环比上升2.84%，同比上升4.67%。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2. 要素：三要素单位成本环比 直接材料 +0.22 元/盒、制造费用 +0.06 元/盒、直接人工 +0.03 元/盒；影响最大的是直接材料（每盒增加 0.22 元）。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3. 根因：多维归因首位“原料：金银花”上升（解释力 48.4%，可能性高）；对照厂 DiD 检验结论见 4.2 节。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4. 对标：对比 中药二厂，单位成本差异 ‑0.39 元/盒（对标厂较高），差异结构与拆解见第五章。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5. 行动：共 4 条整改/核查建议（第六章）；优先项——按同批次核对采购价、投料与合格产出，分别检查采购变化和生产损耗。</w:t>
      </w:r>
    </w:p>
    <w:p>
      <w:bookmarkStart w:id="31000" w:name="YH_SEC_T0"/>
      <w:pPr>
        <w:pStyle w:val="2"/>
        <w:pageBreakBefore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一、封面与基本信息</w:t>
      </w:r>
      <w:bookmarkEnd w:id="31000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表1-1 封面与基本信息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243"/>
        <w:gridCol w:w="5722"/>
      </w:tblGrid>
      <w:tr>
        <w:trPr>
          <w:tblHeader/>
          <w:cantSplit/>
        </w:trPr>
        <w:tc>
          <w:tcPr>
            <w:shd w:fill="D9D9D9"/>
            <w:tcW w:w="324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项目</w:t>
            </w:r>
          </w:p>
        </w:tc>
        <w:tc>
          <w:tcPr>
            <w:shd w:fill="D9D9D9"/>
            <w:tcW w:w="572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报告类型</w:t>
            </w:r>
          </w:p>
        </w:tc>
        <w:tc>
          <w:tcPr>
            <w:tcW w:w="5722" w:type="dxa"/>
          </w:tcPr>
          <w:p>
            <w:bookmarkStart w:id="10135" w:name="YH_c282ade0_135"/>
            <w:r>
              <w:rPr>
                <w:rFonts w:ascii="Times New Roman" w:hAnsi="Times New Roman" w:eastAsia="宋体" w:cs="Times New Roman"/>
                <w:sz w:val="18"/>
              </w:rPr>
              <w:t xml:space="preserve">月度成本分析</w:t>
            </w:r>
            <w:bookmarkEnd w:id="10135"/>
          </w:p>
        </w:tc>
      </w:tr>
      <w:tr>
        <w:trPr>
          <w:cantSplit/>
        </w:trPr>
        <w:tc>
          <w:tcPr>
            <w:shd w:fill="F7F7F7"/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分析月份</w:t>
            </w:r>
          </w:p>
        </w:tc>
        <w:tc>
          <w:tcPr>
            <w:shd w:fill="F7F7F7"/>
            <w:tcW w:w="5722" w:type="dxa"/>
          </w:tcPr>
          <w:p>
            <w:bookmarkStart w:id="10137" w:name="YH_c282ade0_137"/>
            <w:r>
              <w:rPr>
                <w:rFonts w:ascii="Times New Roman" w:hAnsi="Times New Roman" w:eastAsia="宋体" w:cs="Times New Roman"/>
                <w:sz w:val="18"/>
              </w:rPr>
              <w:t xml:space="preserve">2026-05</w:t>
            </w:r>
            <w:bookmarkEnd w:id="10137"/>
          </w:p>
        </w:tc>
      </w:tr>
      <w:tr>
        <w:trPr>
          <w:cantSplit/>
        </w:trPr>
        <w:tc>
          <w:tcPr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分析产品</w:t>
            </w:r>
          </w:p>
        </w:tc>
        <w:tc>
          <w:tcPr>
            <w:tcW w:w="5722" w:type="dxa"/>
          </w:tcPr>
          <w:p>
            <w:bookmarkStart w:id="10139" w:name="YH_c282ade0_139"/>
            <w:r>
              <w:rPr>
                <w:rFonts w:ascii="Times New Roman" w:hAnsi="Times New Roman" w:eastAsia="宋体" w:cs="Times New Roman"/>
                <w:sz w:val="18"/>
              </w:rPr>
              <w:t xml:space="preserve">银黄口服液</w:t>
            </w:r>
            <w:bookmarkEnd w:id="10139"/>
          </w:p>
        </w:tc>
      </w:tr>
      <w:tr>
        <w:trPr>
          <w:cantSplit/>
        </w:trPr>
        <w:tc>
          <w:tcPr>
            <w:shd w:fill="F7F7F7"/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产品规格</w:t>
            </w:r>
          </w:p>
        </w:tc>
        <w:tc>
          <w:tcPr>
            <w:shd w:fill="F7F7F7"/>
            <w:tcW w:w="5722" w:type="dxa"/>
          </w:tcPr>
          <w:p>
            <w:bookmarkStart w:id="10141" w:name="YH_c282ade0_141"/>
            <w:r>
              <w:rPr>
                <w:rFonts w:ascii="Times New Roman" w:hAnsi="Times New Roman" w:eastAsia="宋体" w:cs="Times New Roman"/>
                <w:sz w:val="18"/>
              </w:rPr>
              <w:t xml:space="preserve">10ml×10支/盒</w:t>
            </w:r>
            <w:bookmarkEnd w:id="10141"/>
          </w:p>
        </w:tc>
      </w:tr>
      <w:tr>
        <w:trPr>
          <w:cantSplit/>
        </w:trPr>
        <w:tc>
          <w:tcPr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本月产量</w:t>
            </w:r>
          </w:p>
        </w:tc>
        <w:tc>
          <w:tcPr>
            <w:noWrap/>
            <w:tcW w:w="5722" w:type="dxa"/>
          </w:tcPr>
          <w:p>
            <w:bookmarkStart w:id="10143" w:name="YH_c282ade0_143"/>
            <w:r>
              <w:rPr>
                <w:rFonts w:ascii="Times New Roman" w:hAnsi="Times New Roman" w:eastAsia="宋体" w:cs="Times New Roman"/>
                <w:sz w:val="18"/>
              </w:rPr>
              <w:t xml:space="preserve">58000 盒</w:t>
            </w:r>
            <w:bookmarkEnd w:id="10143"/>
          </w:p>
        </w:tc>
      </w:tr>
      <w:tr>
        <w:trPr>
          <w:cantSplit/>
        </w:trPr>
        <w:tc>
          <w:tcPr>
            <w:shd w:fill="F7F7F7"/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编制人</w:t>
            </w:r>
          </w:p>
        </w:tc>
        <w:tc>
          <w:tcPr>
            <w:shd w:fill="F7F7F7"/>
            <w:tcW w:w="572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财务部成本会计</w:t>
            </w:r>
          </w:p>
        </w:tc>
      </w:tr>
      <w:tr>
        <w:trPr>
          <w:cantSplit/>
        </w:trPr>
        <w:tc>
          <w:tcPr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审核人</w:t>
            </w:r>
          </w:p>
        </w:tc>
        <w:tc>
          <w:tcPr>
            <w:tcW w:w="572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财务总监</w:t>
            </w:r>
          </w:p>
        </w:tc>
      </w:tr>
      <w:tr>
        <w:trPr>
          <w:cantSplit/>
        </w:trPr>
        <w:tc>
          <w:tcPr>
            <w:shd w:fill="F7F7F7"/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数据来源</w:t>
            </w:r>
          </w:p>
        </w:tc>
        <w:tc>
          <w:tcPr>
            <w:shd w:fill="F7F7F7"/>
            <w:tcW w:w="572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ERP系统成本模块</w:t>
            </w:r>
          </w:p>
        </w:tc>
      </w:tr>
    </w:tbl>
    <w:p>
      <w:pPr>
        <w:snapToGrid w:val="0"/>
      </w:pPr>
    </w:p>
    <w:p>
      <w:bookmarkStart w:id="31001" w:name="YH_SEC_T1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二、总成本概览</w:t>
      </w:r>
      <w:bookmarkEnd w:id="31001"/>
    </w:p>
    <w:p>
      <w:bookmarkStart w:id="31002" w:name="YH_SEC_T2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2.1 核心指标一览</w:t>
      </w:r>
      <w:bookmarkEnd w:id="31002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表2-1 核心指标一览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261"/>
        <w:gridCol w:w="1031"/>
        <w:gridCol w:w="1031"/>
        <w:gridCol w:w="860"/>
        <w:gridCol w:w="1031"/>
        <w:gridCol w:w="860"/>
        <w:gridCol w:w="1031"/>
        <w:gridCol w:w="860"/>
      </w:tblGrid>
      <w:tr>
        <w:trPr>
          <w:tblHeader/>
          <w:cantSplit/>
        </w:trPr>
        <w:tc>
          <w:tcPr>
            <w:shd w:fill="D9D9D9"/>
            <w:tcW w:w="226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指标</w:t>
            </w:r>
          </w:p>
        </w:tc>
        <w:tc>
          <w:tcPr>
            <w:shd w:fill="D9D9D9"/>
            <w:tcW w:w="103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本月实际</w:t>
            </w:r>
          </w:p>
        </w:tc>
        <w:tc>
          <w:tcPr>
            <w:shd w:fill="D9D9D9"/>
            <w:tcW w:w="103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上月实际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  <w:tc>
          <w:tcPr>
            <w:shd w:fill="D9D9D9"/>
            <w:tcW w:w="103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去年同月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同比变动</w:t>
            </w:r>
          </w:p>
        </w:tc>
        <w:tc>
          <w:tcPr>
            <w:shd w:fill="D9D9D9"/>
            <w:tcW w:w="103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预算值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预算偏差</w:t>
            </w:r>
          </w:p>
        </w:tc>
      </w:tr>
      <w:tr>
        <w:trPr>
          <w:cantSplit/>
        </w:trPr>
        <w:tc>
          <w:tcPr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产量(盒)</w:t>
            </w:r>
          </w:p>
        </w:tc>
        <w:tc>
          <w:tcPr>
            <w:noWrap/>
            <w:tcW w:w="1031" w:type="dxa"/>
          </w:tcPr>
          <w:p>
            <w:bookmarkStart w:id="10162" w:name="YH_c282ade0_162"/>
            <w:r>
              <w:rPr>
                <w:rFonts w:ascii="Times New Roman" w:hAnsi="Times New Roman" w:eastAsia="宋体" w:cs="Times New Roman"/>
                <w:sz w:val="18"/>
              </w:rPr>
              <w:t xml:space="preserve">58000</w:t>
            </w:r>
            <w:bookmarkEnd w:id="10162"/>
          </w:p>
        </w:tc>
        <w:tc>
          <w:tcPr>
            <w:noWrap/>
            <w:tcW w:w="1031" w:type="dxa"/>
          </w:tcPr>
          <w:p>
            <w:bookmarkStart w:id="10163" w:name="YH_c282ade0_163"/>
            <w:r>
              <w:rPr>
                <w:rFonts w:ascii="Times New Roman" w:hAnsi="Times New Roman" w:eastAsia="宋体" w:cs="Times New Roman"/>
                <w:sz w:val="18"/>
              </w:rPr>
              <w:t xml:space="preserve">55000</w:t>
            </w:r>
            <w:bookmarkEnd w:id="10163"/>
          </w:p>
        </w:tc>
        <w:tc>
          <w:tcPr>
            <w:noWrap/>
            <w:tcW w:w="860" w:type="dxa"/>
          </w:tcPr>
          <w:p>
            <w:bookmarkStart w:id="10164" w:name="YH_c282ade0_164"/>
            <w:r>
              <w:rPr>
                <w:rFonts w:ascii="Times New Roman" w:hAnsi="Times New Roman" w:eastAsia="宋体" w:cs="Times New Roman"/>
                <w:sz w:val="18"/>
              </w:rPr>
              <w:t xml:space="preserve">5.45%</w:t>
            </w:r>
            <w:bookmarkEnd w:id="10164"/>
          </w:p>
        </w:tc>
        <w:tc>
          <w:tcPr>
            <w:noWrap/>
            <w:tcW w:w="1031" w:type="dxa"/>
          </w:tcPr>
          <w:p>
            <w:bookmarkStart w:id="10165" w:name="YH_c282ade0_165"/>
            <w:r>
              <w:rPr>
                <w:rFonts w:ascii="Times New Roman" w:hAnsi="Times New Roman" w:eastAsia="宋体" w:cs="Times New Roman"/>
                <w:sz w:val="18"/>
              </w:rPr>
              <w:t xml:space="preserve">55100</w:t>
            </w:r>
            <w:bookmarkEnd w:id="10165"/>
          </w:p>
        </w:tc>
        <w:tc>
          <w:tcPr>
            <w:noWrap/>
            <w:tcW w:w="860" w:type="dxa"/>
          </w:tcPr>
          <w:p>
            <w:bookmarkStart w:id="10166" w:name="YH_c282ade0_166"/>
            <w:r>
              <w:rPr>
                <w:rFonts w:ascii="Times New Roman" w:hAnsi="Times New Roman" w:eastAsia="宋体" w:cs="Times New Roman"/>
                <w:sz w:val="18"/>
              </w:rPr>
              <w:t xml:space="preserve">5.26%</w:t>
            </w:r>
            <w:bookmarkEnd w:id="10166"/>
          </w:p>
        </w:tc>
        <w:tc>
          <w:tcPr>
            <w:noWrap/>
            <w:tcW w:w="1031" w:type="dxa"/>
          </w:tcPr>
          <w:p>
            <w:bookmarkStart w:id="10167" w:name="YH_c282ade0_167"/>
            <w:r>
              <w:rPr>
                <w:rFonts w:ascii="Times New Roman" w:hAnsi="Times New Roman" w:eastAsia="宋体" w:cs="Times New Roman"/>
                <w:sz w:val="18"/>
              </w:rPr>
              <w:t xml:space="preserve">50000</w:t>
            </w:r>
            <w:bookmarkEnd w:id="10167"/>
          </w:p>
        </w:tc>
        <w:tc>
          <w:tcPr>
            <w:noWrap/>
            <w:tcW w:w="860" w:type="dxa"/>
          </w:tcPr>
          <w:p>
            <w:bookmarkStart w:id="10168" w:name="YH_c282ade0_168"/>
            <w:r>
              <w:rPr>
                <w:rFonts w:ascii="Times New Roman" w:hAnsi="Times New Roman" w:eastAsia="宋体" w:cs="Times New Roman"/>
                <w:sz w:val="18"/>
              </w:rPr>
              <w:t xml:space="preserve">16.00%</w:t>
            </w:r>
            <w:bookmarkEnd w:id="10168"/>
          </w:p>
        </w:tc>
      </w:tr>
      <w:tr>
        <w:trPr>
          <w:cantSplit/>
        </w:trPr>
        <w:tc>
          <w:tcPr>
            <w:shd w:fill="F7F7F7"/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单位成本(元/盒)</w:t>
            </w:r>
          </w:p>
        </w:tc>
        <w:tc>
          <w:tcPr>
            <w:shd w:fill="F7F7F7"/>
            <w:noWrap/>
            <w:tcW w:w="1031" w:type="dxa"/>
          </w:tcPr>
          <w:p>
            <w:bookmarkStart w:id="10170" w:name="YH_c282ade0_170"/>
            <w:r>
              <w:rPr>
                <w:rFonts w:ascii="Times New Roman" w:hAnsi="Times New Roman" w:eastAsia="宋体" w:cs="Times New Roman"/>
                <w:sz w:val="18"/>
              </w:rPr>
              <w:t xml:space="preserve">11.21</w:t>
            </w:r>
            <w:bookmarkEnd w:id="10170"/>
          </w:p>
        </w:tc>
        <w:tc>
          <w:tcPr>
            <w:shd w:fill="F7F7F7"/>
            <w:noWrap/>
            <w:tcW w:w="1031" w:type="dxa"/>
          </w:tcPr>
          <w:p>
            <w:bookmarkStart w:id="10171" w:name="YH_c282ade0_171"/>
            <w:r>
              <w:rPr>
                <w:rFonts w:ascii="Times New Roman" w:hAnsi="Times New Roman" w:eastAsia="宋体" w:cs="Times New Roman"/>
                <w:sz w:val="18"/>
              </w:rPr>
              <w:t xml:space="preserve">10.90</w:t>
            </w:r>
            <w:bookmarkEnd w:id="10171"/>
          </w:p>
        </w:tc>
        <w:tc>
          <w:tcPr>
            <w:shd w:fill="F7F7F7"/>
            <w:noWrap/>
            <w:tcW w:w="860" w:type="dxa"/>
          </w:tcPr>
          <w:p>
            <w:bookmarkStart w:id="10172" w:name="YH_c282ade0_172"/>
            <w:r>
              <w:rPr>
                <w:rFonts w:ascii="Times New Roman" w:hAnsi="Times New Roman" w:eastAsia="宋体" w:cs="Times New Roman"/>
                <w:sz w:val="18"/>
              </w:rPr>
              <w:t xml:space="preserve">2.84%</w:t>
            </w:r>
            <w:bookmarkEnd w:id="10172"/>
          </w:p>
        </w:tc>
        <w:tc>
          <w:tcPr>
            <w:shd w:fill="F7F7F7"/>
            <w:noWrap/>
            <w:tcW w:w="1031" w:type="dxa"/>
          </w:tcPr>
          <w:p>
            <w:bookmarkStart w:id="10173" w:name="YH_c282ade0_173"/>
            <w:r>
              <w:rPr>
                <w:rFonts w:ascii="Times New Roman" w:hAnsi="Times New Roman" w:eastAsia="宋体" w:cs="Times New Roman"/>
                <w:sz w:val="18"/>
              </w:rPr>
              <w:t xml:space="preserve">10.71</w:t>
            </w:r>
            <w:bookmarkEnd w:id="10173"/>
          </w:p>
        </w:tc>
        <w:tc>
          <w:tcPr>
            <w:shd w:fill="F7F7F7"/>
            <w:noWrap/>
            <w:tcW w:w="860" w:type="dxa"/>
          </w:tcPr>
          <w:p>
            <w:bookmarkStart w:id="10174" w:name="YH_c282ade0_174"/>
            <w:r>
              <w:rPr>
                <w:rFonts w:ascii="Times New Roman" w:hAnsi="Times New Roman" w:eastAsia="宋体" w:cs="Times New Roman"/>
                <w:sz w:val="18"/>
              </w:rPr>
              <w:t xml:space="preserve">4.67%</w:t>
            </w:r>
            <w:bookmarkEnd w:id="10174"/>
          </w:p>
        </w:tc>
        <w:tc>
          <w:tcPr>
            <w:shd w:fill="F7F7F7"/>
            <w:noWrap/>
            <w:tcW w:w="1031" w:type="dxa"/>
          </w:tcPr>
          <w:p>
            <w:bookmarkStart w:id="10175" w:name="YH_c282ade0_175"/>
            <w:r>
              <w:rPr>
                <w:rFonts w:ascii="Times New Roman" w:hAnsi="Times New Roman" w:eastAsia="宋体" w:cs="Times New Roman"/>
                <w:sz w:val="18"/>
              </w:rPr>
              <w:t xml:space="preserve">10.60</w:t>
            </w:r>
            <w:bookmarkEnd w:id="10175"/>
          </w:p>
        </w:tc>
        <w:tc>
          <w:tcPr>
            <w:shd w:fill="F7F7F7"/>
            <w:noWrap/>
            <w:tcW w:w="860" w:type="dxa"/>
          </w:tcPr>
          <w:p>
            <w:bookmarkStart w:id="10176" w:name="YH_c282ade0_176"/>
            <w:r>
              <w:rPr>
                <w:rFonts w:ascii="Times New Roman" w:hAnsi="Times New Roman" w:eastAsia="宋体" w:cs="Times New Roman"/>
                <w:sz w:val="18"/>
              </w:rPr>
              <w:t xml:space="preserve">5.75%</w:t>
            </w:r>
            <w:bookmarkEnd w:id="10176"/>
          </w:p>
        </w:tc>
      </w:tr>
      <w:tr>
        <w:trPr>
          <w:cantSplit/>
        </w:trPr>
        <w:tc>
          <w:tcPr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总成本(元)</w:t>
            </w:r>
          </w:p>
        </w:tc>
        <w:tc>
          <w:tcPr>
            <w:noWrap/>
            <w:tcW w:w="1031" w:type="dxa"/>
          </w:tcPr>
          <w:p>
            <w:bookmarkStart w:id="10178" w:name="YH_c282ade0_178"/>
            <w:r>
              <w:rPr>
                <w:rFonts w:ascii="Times New Roman" w:hAnsi="Times New Roman" w:eastAsia="宋体" w:cs="Times New Roman"/>
                <w:sz w:val="18"/>
              </w:rPr>
              <w:t xml:space="preserve">650180.00</w:t>
            </w:r>
            <w:bookmarkEnd w:id="10178"/>
          </w:p>
        </w:tc>
        <w:tc>
          <w:tcPr>
            <w:noWrap/>
            <w:tcW w:w="1031" w:type="dxa"/>
          </w:tcPr>
          <w:p>
            <w:bookmarkStart w:id="10179" w:name="YH_c282ade0_179"/>
            <w:r>
              <w:rPr>
                <w:rFonts w:ascii="Times New Roman" w:hAnsi="Times New Roman" w:eastAsia="宋体" w:cs="Times New Roman"/>
                <w:sz w:val="18"/>
              </w:rPr>
              <w:t xml:space="preserve">599500.00</w:t>
            </w:r>
            <w:bookmarkEnd w:id="10179"/>
          </w:p>
        </w:tc>
        <w:tc>
          <w:tcPr>
            <w:noWrap/>
            <w:tcW w:w="860" w:type="dxa"/>
          </w:tcPr>
          <w:p>
            <w:bookmarkStart w:id="10180" w:name="YH_c282ade0_180"/>
            <w:r>
              <w:rPr>
                <w:rFonts w:ascii="Times New Roman" w:hAnsi="Times New Roman" w:eastAsia="宋体" w:cs="Times New Roman"/>
                <w:sz w:val="18"/>
              </w:rPr>
              <w:t xml:space="preserve">8.45%</w:t>
            </w:r>
            <w:bookmarkEnd w:id="10180"/>
          </w:p>
        </w:tc>
        <w:tc>
          <w:tcPr>
            <w:noWrap/>
            <w:tcW w:w="1031" w:type="dxa"/>
          </w:tcPr>
          <w:p>
            <w:bookmarkStart w:id="10181" w:name="YH_c282ade0_181"/>
            <w:r>
              <w:rPr>
                <w:rFonts w:ascii="Times New Roman" w:hAnsi="Times New Roman" w:eastAsia="宋体" w:cs="Times New Roman"/>
                <w:sz w:val="18"/>
              </w:rPr>
              <w:t xml:space="preserve">590121.00</w:t>
            </w:r>
            <w:bookmarkEnd w:id="10181"/>
          </w:p>
        </w:tc>
        <w:tc>
          <w:tcPr>
            <w:noWrap/>
            <w:tcW w:w="860" w:type="dxa"/>
          </w:tcPr>
          <w:p>
            <w:bookmarkStart w:id="10182" w:name="YH_c282ade0_182"/>
            <w:r>
              <w:rPr>
                <w:rFonts w:ascii="Times New Roman" w:hAnsi="Times New Roman" w:eastAsia="宋体" w:cs="Times New Roman"/>
                <w:sz w:val="18"/>
              </w:rPr>
              <w:t xml:space="preserve">10.18%</w:t>
            </w:r>
            <w:bookmarkEnd w:id="10182"/>
          </w:p>
        </w:tc>
        <w:tc>
          <w:tcPr>
            <w:noWrap/>
            <w:tcW w:w="1031" w:type="dxa"/>
          </w:tcPr>
          <w:p>
            <w:bookmarkStart w:id="10183" w:name="YH_c282ade0_183"/>
            <w:r>
              <w:rPr>
                <w:rFonts w:ascii="Times New Roman" w:hAnsi="Times New Roman" w:eastAsia="宋体" w:cs="Times New Roman"/>
                <w:sz w:val="18"/>
              </w:rPr>
              <w:t xml:space="preserve">530000.00</w:t>
            </w:r>
            <w:bookmarkEnd w:id="10183"/>
          </w:p>
        </w:tc>
        <w:tc>
          <w:tcPr>
            <w:noWrap/>
            <w:tcW w:w="860" w:type="dxa"/>
          </w:tcPr>
          <w:p>
            <w:bookmarkStart w:id="10184" w:name="YH_c282ade0_184"/>
            <w:r>
              <w:rPr>
                <w:rFonts w:ascii="Times New Roman" w:hAnsi="Times New Roman" w:eastAsia="宋体" w:cs="Times New Roman"/>
                <w:sz w:val="18"/>
              </w:rPr>
              <w:t xml:space="preserve">22.68%</w:t>
            </w:r>
            <w:bookmarkEnd w:id="10184"/>
          </w:p>
        </w:tc>
      </w:tr>
      <w:tr>
        <w:trPr>
          <w:cantSplit/>
        </w:trPr>
        <w:tc>
          <w:tcPr>
            <w:shd w:fill="F7F7F7"/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其中：直接材料(元/盒)</w:t>
            </w:r>
          </w:p>
        </w:tc>
        <w:tc>
          <w:tcPr>
            <w:shd w:fill="F7F7F7"/>
            <w:noWrap/>
            <w:tcW w:w="1031" w:type="dxa"/>
          </w:tcPr>
          <w:p>
            <w:bookmarkStart w:id="10186" w:name="YH_c282ade0_186"/>
            <w:r>
              <w:rPr>
                <w:rFonts w:ascii="Times New Roman" w:hAnsi="Times New Roman" w:eastAsia="宋体" w:cs="Times New Roman"/>
                <w:sz w:val="18"/>
              </w:rPr>
              <w:t xml:space="preserve">7.30</w:t>
            </w:r>
            <w:bookmarkEnd w:id="10186"/>
          </w:p>
        </w:tc>
        <w:tc>
          <w:tcPr>
            <w:shd w:fill="F7F7F7"/>
            <w:noWrap/>
            <w:tcW w:w="1031" w:type="dxa"/>
          </w:tcPr>
          <w:p>
            <w:bookmarkStart w:id="10187" w:name="YH_c282ade0_187"/>
            <w:r>
              <w:rPr>
                <w:rFonts w:ascii="Times New Roman" w:hAnsi="Times New Roman" w:eastAsia="宋体" w:cs="Times New Roman"/>
                <w:sz w:val="18"/>
              </w:rPr>
              <w:t xml:space="preserve">7.08</w:t>
            </w:r>
            <w:bookmarkEnd w:id="10187"/>
          </w:p>
        </w:tc>
        <w:tc>
          <w:tcPr>
            <w:shd w:fill="F7F7F7"/>
            <w:noWrap/>
            <w:tcW w:w="860" w:type="dxa"/>
          </w:tcPr>
          <w:p>
            <w:bookmarkStart w:id="10188" w:name="YH_c282ade0_188"/>
            <w:r>
              <w:rPr>
                <w:rFonts w:ascii="Times New Roman" w:hAnsi="Times New Roman" w:eastAsia="宋体" w:cs="Times New Roman"/>
                <w:sz w:val="18"/>
              </w:rPr>
              <w:t xml:space="preserve">3.11%</w:t>
            </w:r>
            <w:bookmarkEnd w:id="10188"/>
          </w:p>
        </w:tc>
        <w:tc>
          <w:tcPr>
            <w:shd w:fill="F7F7F7"/>
            <w:noWrap/>
            <w:tcW w:w="1031" w:type="dxa"/>
          </w:tcPr>
          <w:p>
            <w:bookmarkStart w:id="22110" w:name="YH_reader_去年材料成本"/>
            <w:r>
              <w:rPr>
                <w:rFonts w:ascii="Times New Roman" w:hAnsi="Times New Roman" w:eastAsia="宋体" w:cs="Times New Roman"/>
                <w:sz w:val="18"/>
              </w:rPr>
              <w:t xml:space="preserve">6.84</w:t>
            </w:r>
            <w:bookmarkEnd w:id="22110"/>
          </w:p>
        </w:tc>
        <w:tc>
          <w:tcPr>
            <w:shd w:fill="F7F7F7"/>
            <w:noWrap/>
            <w:tcW w:w="860" w:type="dxa"/>
          </w:tcPr>
          <w:p>
            <w:bookmarkStart w:id="22111" w:name="YH_reader_材料成本同比"/>
            <w:r>
              <w:rPr>
                <w:rFonts w:ascii="Times New Roman" w:hAnsi="Times New Roman" w:eastAsia="宋体" w:cs="Times New Roman"/>
                <w:sz w:val="18"/>
              </w:rPr>
              <w:t xml:space="preserve">6.73%</w:t>
            </w:r>
            <w:bookmarkEnd w:id="22111"/>
          </w:p>
        </w:tc>
        <w:tc>
          <w:tcPr>
            <w:shd w:fill="F7F7F7"/>
            <w:noWrap/>
            <w:tcW w:w="1031" w:type="dxa"/>
          </w:tcPr>
          <w:p>
            <w:bookmarkStart w:id="10191" w:name="YH_c282ade0_191"/>
            <w:r>
              <w:rPr>
                <w:rFonts w:ascii="Times New Roman" w:hAnsi="Times New Roman" w:eastAsia="宋体" w:cs="Times New Roman"/>
                <w:sz w:val="18"/>
              </w:rPr>
              <w:t xml:space="preserve">6.80</w:t>
            </w:r>
            <w:bookmarkEnd w:id="10191"/>
          </w:p>
        </w:tc>
        <w:tc>
          <w:tcPr>
            <w:shd w:fill="F7F7F7"/>
            <w:noWrap/>
            <w:tcW w:w="860" w:type="dxa"/>
          </w:tcPr>
          <w:p>
            <w:bookmarkStart w:id="10192" w:name="YH_c282ade0_192"/>
            <w:r>
              <w:rPr>
                <w:rFonts w:ascii="Times New Roman" w:hAnsi="Times New Roman" w:eastAsia="宋体" w:cs="Times New Roman"/>
                <w:sz w:val="18"/>
              </w:rPr>
              <w:t xml:space="preserve">7.35%</w:t>
            </w:r>
            <w:bookmarkEnd w:id="10192"/>
          </w:p>
        </w:tc>
      </w:tr>
      <w:tr>
        <w:trPr>
          <w:cantSplit/>
        </w:trPr>
        <w:tc>
          <w:tcPr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其中：直接人工(元/盒)</w:t>
            </w:r>
          </w:p>
        </w:tc>
        <w:tc>
          <w:tcPr>
            <w:noWrap/>
            <w:tcW w:w="1031" w:type="dxa"/>
          </w:tcPr>
          <w:p>
            <w:bookmarkStart w:id="10194" w:name="YH_c282ade0_194"/>
            <w:r>
              <w:rPr>
                <w:rFonts w:ascii="Times New Roman" w:hAnsi="Times New Roman" w:eastAsia="宋体" w:cs="Times New Roman"/>
                <w:sz w:val="18"/>
              </w:rPr>
              <w:t xml:space="preserve">1.53</w:t>
            </w:r>
            <w:bookmarkEnd w:id="10194"/>
          </w:p>
        </w:tc>
        <w:tc>
          <w:tcPr>
            <w:noWrap/>
            <w:tcW w:w="1031" w:type="dxa"/>
          </w:tcPr>
          <w:p>
            <w:bookmarkStart w:id="10195" w:name="YH_c282ade0_195"/>
            <w:r>
              <w:rPr>
                <w:rFonts w:ascii="Times New Roman" w:hAnsi="Times New Roman" w:eastAsia="宋体" w:cs="Times New Roman"/>
                <w:sz w:val="18"/>
              </w:rPr>
              <w:t xml:space="preserve">1.50</w:t>
            </w:r>
            <w:bookmarkEnd w:id="10195"/>
          </w:p>
        </w:tc>
        <w:tc>
          <w:tcPr>
            <w:noWrap/>
            <w:tcW w:w="860" w:type="dxa"/>
          </w:tcPr>
          <w:p>
            <w:bookmarkStart w:id="10196" w:name="YH_c282ade0_196"/>
            <w:r>
              <w:rPr>
                <w:rFonts w:ascii="Times New Roman" w:hAnsi="Times New Roman" w:eastAsia="宋体" w:cs="Times New Roman"/>
                <w:sz w:val="18"/>
              </w:rPr>
              <w:t xml:space="preserve">2.00%</w:t>
            </w:r>
            <w:bookmarkEnd w:id="10196"/>
          </w:p>
        </w:tc>
        <w:tc>
          <w:tcPr>
            <w:noWrap/>
            <w:tcW w:w="1031" w:type="dxa"/>
          </w:tcPr>
          <w:p>
            <w:bookmarkStart w:id="22112" w:name="YH_reader_去年人工成本"/>
            <w:r>
              <w:rPr>
                <w:rFonts w:ascii="Times New Roman" w:hAnsi="Times New Roman" w:eastAsia="宋体" w:cs="Times New Roman"/>
                <w:sz w:val="18"/>
              </w:rPr>
              <w:t xml:space="preserve">1.51</w:t>
            </w:r>
            <w:bookmarkEnd w:id="22112"/>
          </w:p>
        </w:tc>
        <w:tc>
          <w:tcPr>
            <w:noWrap/>
            <w:tcW w:w="860" w:type="dxa"/>
          </w:tcPr>
          <w:p>
            <w:bookmarkStart w:id="22113" w:name="YH_reader_人工成本同比"/>
            <w:r>
              <w:rPr>
                <w:rFonts w:ascii="Times New Roman" w:hAnsi="Times New Roman" w:eastAsia="宋体" w:cs="Times New Roman"/>
                <w:sz w:val="18"/>
              </w:rPr>
              <w:t xml:space="preserve">1.32%</w:t>
            </w:r>
            <w:bookmarkEnd w:id="22113"/>
          </w:p>
        </w:tc>
        <w:tc>
          <w:tcPr>
            <w:noWrap/>
            <w:tcW w:w="1031" w:type="dxa"/>
          </w:tcPr>
          <w:p>
            <w:bookmarkStart w:id="10199" w:name="YH_c282ade0_199"/>
            <w:r>
              <w:rPr>
                <w:rFonts w:ascii="Times New Roman" w:hAnsi="Times New Roman" w:eastAsia="宋体" w:cs="Times New Roman"/>
                <w:sz w:val="18"/>
              </w:rPr>
              <w:t xml:space="preserve">1.50</w:t>
            </w:r>
            <w:bookmarkEnd w:id="10199"/>
          </w:p>
        </w:tc>
        <w:tc>
          <w:tcPr>
            <w:noWrap/>
            <w:tcW w:w="860" w:type="dxa"/>
          </w:tcPr>
          <w:p>
            <w:bookmarkStart w:id="10200" w:name="YH_c282ade0_200"/>
            <w:r>
              <w:rPr>
                <w:rFonts w:ascii="Times New Roman" w:hAnsi="Times New Roman" w:eastAsia="宋体" w:cs="Times New Roman"/>
                <w:sz w:val="18"/>
              </w:rPr>
              <w:t xml:space="preserve">2.00%</w:t>
            </w:r>
            <w:bookmarkEnd w:id="10200"/>
          </w:p>
        </w:tc>
      </w:tr>
      <w:tr>
        <w:trPr>
          <w:cantSplit/>
        </w:trPr>
        <w:tc>
          <w:tcPr>
            <w:shd w:fill="F7F7F7"/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其中：制造费用(元/盒)</w:t>
            </w:r>
          </w:p>
        </w:tc>
        <w:tc>
          <w:tcPr>
            <w:shd w:fill="F7F7F7"/>
            <w:noWrap/>
            <w:tcW w:w="1031" w:type="dxa"/>
          </w:tcPr>
          <w:p>
            <w:bookmarkStart w:id="10202" w:name="YH_c282ade0_202"/>
            <w:r>
              <w:rPr>
                <w:rFonts w:ascii="Times New Roman" w:hAnsi="Times New Roman" w:eastAsia="宋体" w:cs="Times New Roman"/>
                <w:sz w:val="18"/>
              </w:rPr>
              <w:t xml:space="preserve">2.38</w:t>
            </w:r>
            <w:bookmarkEnd w:id="10202"/>
          </w:p>
        </w:tc>
        <w:tc>
          <w:tcPr>
            <w:shd w:fill="F7F7F7"/>
            <w:noWrap/>
            <w:tcW w:w="1031" w:type="dxa"/>
          </w:tcPr>
          <w:p>
            <w:bookmarkStart w:id="10203" w:name="YH_c282ade0_203"/>
            <w:r>
              <w:rPr>
                <w:rFonts w:ascii="Times New Roman" w:hAnsi="Times New Roman" w:eastAsia="宋体" w:cs="Times New Roman"/>
                <w:sz w:val="18"/>
              </w:rPr>
              <w:t xml:space="preserve">2.32</w:t>
            </w:r>
            <w:bookmarkEnd w:id="10203"/>
          </w:p>
        </w:tc>
        <w:tc>
          <w:tcPr>
            <w:shd w:fill="F7F7F7"/>
            <w:noWrap/>
            <w:tcW w:w="860" w:type="dxa"/>
          </w:tcPr>
          <w:p>
            <w:bookmarkStart w:id="10204" w:name="YH_c282ade0_204"/>
            <w:r>
              <w:rPr>
                <w:rFonts w:ascii="Times New Roman" w:hAnsi="Times New Roman" w:eastAsia="宋体" w:cs="Times New Roman"/>
                <w:sz w:val="18"/>
              </w:rPr>
              <w:t xml:space="preserve">2.59%</w:t>
            </w:r>
            <w:bookmarkEnd w:id="10204"/>
          </w:p>
        </w:tc>
        <w:tc>
          <w:tcPr>
            <w:shd w:fill="F7F7F7"/>
            <w:noWrap/>
            <w:tcW w:w="1031" w:type="dxa"/>
          </w:tcPr>
          <w:p>
            <w:bookmarkStart w:id="22114" w:name="YH_reader_去年制造费用"/>
            <w:r>
              <w:rPr>
                <w:rFonts w:ascii="Times New Roman" w:hAnsi="Times New Roman" w:eastAsia="宋体" w:cs="Times New Roman"/>
                <w:sz w:val="18"/>
              </w:rPr>
              <w:t xml:space="preserve">2.36</w:t>
            </w:r>
            <w:bookmarkEnd w:id="22114"/>
          </w:p>
        </w:tc>
        <w:tc>
          <w:tcPr>
            <w:shd w:fill="F7F7F7"/>
            <w:noWrap/>
            <w:tcW w:w="860" w:type="dxa"/>
          </w:tcPr>
          <w:p>
            <w:bookmarkStart w:id="22115" w:name="YH_reader_制造费用成本同比"/>
            <w:r>
              <w:rPr>
                <w:rFonts w:ascii="Times New Roman" w:hAnsi="Times New Roman" w:eastAsia="宋体" w:cs="Times New Roman"/>
                <w:sz w:val="18"/>
              </w:rPr>
              <w:t xml:space="preserve">0.85%</w:t>
            </w:r>
            <w:bookmarkEnd w:id="22115"/>
          </w:p>
        </w:tc>
        <w:tc>
          <w:tcPr>
            <w:shd w:fill="F7F7F7"/>
            <w:noWrap/>
            <w:tcW w:w="1031" w:type="dxa"/>
          </w:tcPr>
          <w:p>
            <w:bookmarkStart w:id="10207" w:name="YH_c282ade0_207"/>
            <w:r>
              <w:rPr>
                <w:rFonts w:ascii="Times New Roman" w:hAnsi="Times New Roman" w:eastAsia="宋体" w:cs="Times New Roman"/>
                <w:sz w:val="18"/>
              </w:rPr>
              <w:t xml:space="preserve">2.30</w:t>
            </w:r>
            <w:bookmarkEnd w:id="10207"/>
          </w:p>
        </w:tc>
        <w:tc>
          <w:tcPr>
            <w:shd w:fill="F7F7F7"/>
            <w:noWrap/>
            <w:tcW w:w="860" w:type="dxa"/>
          </w:tcPr>
          <w:p>
            <w:bookmarkStart w:id="10208" w:name="YH_c282ade0_208"/>
            <w:r>
              <w:rPr>
                <w:rFonts w:ascii="Times New Roman" w:hAnsi="Times New Roman" w:eastAsia="宋体" w:cs="Times New Roman"/>
                <w:sz w:val="18"/>
              </w:rPr>
              <w:t xml:space="preserve">3.48%</w:t>
            </w:r>
            <w:bookmarkEnd w:id="10208"/>
          </w:p>
        </w:tc>
      </w:tr>
    </w:tbl>
    <w:p>
      <w:pPr>
        <w:snapToGrid w:val="0"/>
      </w:pPr>
    </w:p>
    <w:p>
      <w:bookmarkStart w:id="31003" w:name="YH_SEC_T3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2.2 成本结构</w:t>
      </w:r>
      <w:bookmarkEnd w:id="31003"/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20211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021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图2-1 上期至本期单位成本桥接（浮动柱=要素变动，橙涨绿跌）</w:t>
      </w:r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4680000" cy="31375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37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图2-2 三要素单位成本构成占比</w:t>
      </w:r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24061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dg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406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图2-3 三要素实际与预算对比（柱上为预算偏差）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表2-2 成本结构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5282"/>
        <w:gridCol w:w="1157"/>
        <w:gridCol w:w="833"/>
        <w:gridCol w:w="860"/>
        <w:gridCol w:w="833"/>
      </w:tblGrid>
      <w:tr>
        <w:trPr>
          <w:tblHeader/>
          <w:cantSplit/>
        </w:trPr>
        <w:tc>
          <w:tcPr>
            <w:shd w:fill="D9D9D9"/>
            <w:tcW w:w="528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成本要素</w:t>
            </w:r>
          </w:p>
        </w:tc>
        <w:tc>
          <w:tcPr>
            <w:shd w:fill="D9D9D9"/>
            <w:tcW w:w="115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金额(元/盒)</w:t>
            </w:r>
          </w:p>
        </w:tc>
        <w:tc>
          <w:tcPr>
            <w:shd w:fill="D9D9D9"/>
            <w:tcW w:w="83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占比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  <w:tc>
          <w:tcPr>
            <w:shd w:fill="D9D9D9"/>
            <w:tcW w:w="83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贡献度</w:t>
            </w:r>
          </w:p>
        </w:tc>
      </w:tr>
      <w:tr>
        <w:trPr>
          <w:cantSplit/>
        </w:trPr>
        <w:tc>
          <w:tcPr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直接材料</w:t>
            </w:r>
          </w:p>
        </w:tc>
        <w:tc>
          <w:tcPr>
            <w:noWrap/>
            <w:tcW w:w="1157" w:type="dxa"/>
          </w:tcPr>
          <w:p>
            <w:bookmarkStart w:id="10217" w:name="YH_c282ade0_217"/>
            <w:r>
              <w:rPr>
                <w:rFonts w:ascii="Times New Roman" w:hAnsi="Times New Roman" w:eastAsia="宋体" w:cs="Times New Roman"/>
                <w:sz w:val="18"/>
              </w:rPr>
              <w:t xml:space="preserve">7.30</w:t>
            </w:r>
            <w:bookmarkEnd w:id="10217"/>
          </w:p>
        </w:tc>
        <w:tc>
          <w:tcPr>
            <w:noWrap/>
            <w:tcW w:w="833" w:type="dxa"/>
          </w:tcPr>
          <w:p>
            <w:bookmarkStart w:id="10218" w:name="YH_c282ade0_218"/>
            <w:r>
              <w:rPr>
                <w:rFonts w:ascii="Times New Roman" w:hAnsi="Times New Roman" w:eastAsia="宋体" w:cs="Times New Roman"/>
                <w:sz w:val="18"/>
              </w:rPr>
              <w:t xml:space="preserve">65.12%</w:t>
            </w:r>
            <w:bookmarkEnd w:id="10218"/>
          </w:p>
        </w:tc>
        <w:tc>
          <w:tcPr>
            <w:noWrap/>
            <w:tcW w:w="860" w:type="dxa"/>
          </w:tcPr>
          <w:p>
            <w:bookmarkStart w:id="10219" w:name="YH_c282ade0_219"/>
            <w:r>
              <w:rPr>
                <w:rFonts w:ascii="Times New Roman" w:hAnsi="Times New Roman" w:eastAsia="宋体" w:cs="Times New Roman"/>
                <w:sz w:val="18"/>
              </w:rPr>
              <w:t xml:space="preserve">0.22</w:t>
            </w:r>
            <w:bookmarkEnd w:id="10219"/>
          </w:p>
        </w:tc>
        <w:tc>
          <w:tcPr>
            <w:noWrap/>
            <w:tcW w:w="833" w:type="dxa"/>
          </w:tcPr>
          <w:p>
            <w:bookmarkStart w:id="10220" w:name="YH_c282ade0_220"/>
            <w:r>
              <w:rPr>
                <w:rFonts w:ascii="Times New Roman" w:hAnsi="Times New Roman" w:eastAsia="宋体" w:cs="Times New Roman"/>
                <w:sz w:val="18"/>
              </w:rPr>
              <w:t xml:space="preserve">70.97%</w:t>
            </w:r>
            <w:bookmarkEnd w:id="10220"/>
          </w:p>
        </w:tc>
      </w:tr>
      <w:tr>
        <w:trPr>
          <w:cantSplit/>
        </w:trPr>
        <w:tc>
          <w:tcPr>
            <w:shd w:fill="F7F7F7"/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直接人工</w:t>
            </w:r>
          </w:p>
        </w:tc>
        <w:tc>
          <w:tcPr>
            <w:shd w:fill="F7F7F7"/>
            <w:noWrap/>
            <w:tcW w:w="1157" w:type="dxa"/>
          </w:tcPr>
          <w:p>
            <w:bookmarkStart w:id="10222" w:name="YH_c282ade0_222"/>
            <w:r>
              <w:rPr>
                <w:rFonts w:ascii="Times New Roman" w:hAnsi="Times New Roman" w:eastAsia="宋体" w:cs="Times New Roman"/>
                <w:sz w:val="18"/>
              </w:rPr>
              <w:t xml:space="preserve">1.53</w:t>
            </w:r>
            <w:bookmarkEnd w:id="10222"/>
          </w:p>
        </w:tc>
        <w:tc>
          <w:tcPr>
            <w:shd w:fill="F7F7F7"/>
            <w:noWrap/>
            <w:tcW w:w="833" w:type="dxa"/>
          </w:tcPr>
          <w:p>
            <w:bookmarkStart w:id="10223" w:name="YH_c282ade0_223"/>
            <w:r>
              <w:rPr>
                <w:rFonts w:ascii="Times New Roman" w:hAnsi="Times New Roman" w:eastAsia="宋体" w:cs="Times New Roman"/>
                <w:sz w:val="18"/>
              </w:rPr>
              <w:t xml:space="preserve">13.65%</w:t>
            </w:r>
            <w:bookmarkEnd w:id="10223"/>
          </w:p>
        </w:tc>
        <w:tc>
          <w:tcPr>
            <w:shd w:fill="F7F7F7"/>
            <w:noWrap/>
            <w:tcW w:w="860" w:type="dxa"/>
          </w:tcPr>
          <w:p>
            <w:bookmarkStart w:id="10224" w:name="YH_c282ade0_224"/>
            <w:r>
              <w:rPr>
                <w:rFonts w:ascii="Times New Roman" w:hAnsi="Times New Roman" w:eastAsia="宋体" w:cs="Times New Roman"/>
                <w:sz w:val="18"/>
              </w:rPr>
              <w:t xml:space="preserve">0.03</w:t>
            </w:r>
            <w:bookmarkEnd w:id="10224"/>
          </w:p>
        </w:tc>
        <w:tc>
          <w:tcPr>
            <w:shd w:fill="F7F7F7"/>
            <w:noWrap/>
            <w:tcW w:w="833" w:type="dxa"/>
          </w:tcPr>
          <w:p>
            <w:bookmarkStart w:id="10225" w:name="YH_c282ade0_225"/>
            <w:r>
              <w:rPr>
                <w:rFonts w:ascii="Times New Roman" w:hAnsi="Times New Roman" w:eastAsia="宋体" w:cs="Times New Roman"/>
                <w:sz w:val="18"/>
              </w:rPr>
              <w:t xml:space="preserve">9.68%</w:t>
            </w:r>
            <w:bookmarkEnd w:id="10225"/>
          </w:p>
        </w:tc>
      </w:tr>
      <w:tr>
        <w:trPr>
          <w:cantSplit/>
        </w:trPr>
        <w:tc>
          <w:tcPr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制造费用</w:t>
            </w:r>
          </w:p>
        </w:tc>
        <w:tc>
          <w:tcPr>
            <w:noWrap/>
            <w:tcW w:w="1157" w:type="dxa"/>
          </w:tcPr>
          <w:p>
            <w:bookmarkStart w:id="10227" w:name="YH_c282ade0_227"/>
            <w:r>
              <w:rPr>
                <w:rFonts w:ascii="Times New Roman" w:hAnsi="Times New Roman" w:eastAsia="宋体" w:cs="Times New Roman"/>
                <w:sz w:val="18"/>
              </w:rPr>
              <w:t xml:space="preserve">2.38</w:t>
            </w:r>
            <w:bookmarkEnd w:id="10227"/>
          </w:p>
        </w:tc>
        <w:tc>
          <w:tcPr>
            <w:noWrap/>
            <w:tcW w:w="833" w:type="dxa"/>
          </w:tcPr>
          <w:p>
            <w:bookmarkStart w:id="10228" w:name="YH_c282ade0_228"/>
            <w:r>
              <w:rPr>
                <w:rFonts w:ascii="Times New Roman" w:hAnsi="Times New Roman" w:eastAsia="宋体" w:cs="Times New Roman"/>
                <w:sz w:val="18"/>
              </w:rPr>
              <w:t xml:space="preserve">21.23%</w:t>
            </w:r>
            <w:bookmarkEnd w:id="10228"/>
          </w:p>
        </w:tc>
        <w:tc>
          <w:tcPr>
            <w:noWrap/>
            <w:tcW w:w="860" w:type="dxa"/>
          </w:tcPr>
          <w:p>
            <w:bookmarkStart w:id="10229" w:name="YH_c282ade0_229"/>
            <w:r>
              <w:rPr>
                <w:rFonts w:ascii="Times New Roman" w:hAnsi="Times New Roman" w:eastAsia="宋体" w:cs="Times New Roman"/>
                <w:sz w:val="18"/>
              </w:rPr>
              <w:t xml:space="preserve">0.06</w:t>
            </w:r>
            <w:bookmarkEnd w:id="10229"/>
          </w:p>
        </w:tc>
        <w:tc>
          <w:tcPr>
            <w:noWrap/>
            <w:tcW w:w="833" w:type="dxa"/>
          </w:tcPr>
          <w:p>
            <w:bookmarkStart w:id="10230" w:name="YH_c282ade0_230"/>
            <w:r>
              <w:rPr>
                <w:rFonts w:ascii="Times New Roman" w:hAnsi="Times New Roman" w:eastAsia="宋体" w:cs="Times New Roman"/>
                <w:sz w:val="18"/>
              </w:rPr>
              <w:t xml:space="preserve">19.35%</w:t>
            </w:r>
            <w:bookmarkEnd w:id="10230"/>
          </w:p>
        </w:tc>
      </w:tr>
      <w:tr>
        <w:trPr>
          <w:cantSplit/>
        </w:trPr>
        <w:tc>
          <w:tcPr>
            <w:shd w:fill="F7F7F7"/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合计</w:t>
            </w:r>
          </w:p>
        </w:tc>
        <w:tc>
          <w:tcPr>
            <w:shd w:fill="F7F7F7"/>
            <w:noWrap/>
            <w:tcW w:w="1157" w:type="dxa"/>
          </w:tcPr>
          <w:p>
            <w:bookmarkStart w:id="10232" w:name="YH_c282ade0_232"/>
            <w:r>
              <w:rPr>
                <w:rFonts w:ascii="Times New Roman" w:hAnsi="Times New Roman" w:eastAsia="宋体" w:cs="Times New Roman"/>
                <w:sz w:val="18"/>
              </w:rPr>
              <w:t xml:space="preserve">11.21</w:t>
            </w:r>
            <w:bookmarkEnd w:id="10232"/>
          </w:p>
        </w:tc>
        <w:tc>
          <w:tcPr>
            <w:shd w:fill="F7F7F7"/>
            <w:noWrap/>
            <w:tcW w:w="833" w:type="dxa"/>
          </w:tcPr>
          <w:p>
            <w:bookmarkStart w:id="10233" w:name="YH_c282ade0_233"/>
            <w:r>
              <w:rPr>
                <w:rFonts w:ascii="Times New Roman" w:hAnsi="Times New Roman" w:eastAsia="宋体" w:cs="Times New Roman"/>
                <w:sz w:val="18"/>
              </w:rPr>
              <w:t xml:space="preserve">100.00%</w:t>
            </w:r>
            <w:bookmarkEnd w:id="10233"/>
          </w:p>
        </w:tc>
        <w:tc>
          <w:tcPr>
            <w:shd w:fill="F7F7F7"/>
            <w:noWrap/>
            <w:tcW w:w="860" w:type="dxa"/>
          </w:tcPr>
          <w:p>
            <w:bookmarkStart w:id="10234" w:name="YH_c282ade0_234"/>
            <w:r>
              <w:rPr>
                <w:rFonts w:ascii="Times New Roman" w:hAnsi="Times New Roman" w:eastAsia="宋体" w:cs="Times New Roman"/>
                <w:sz w:val="18"/>
              </w:rPr>
              <w:t xml:space="preserve">0.31</w:t>
            </w:r>
            <w:bookmarkEnd w:id="10234"/>
          </w:p>
        </w:tc>
        <w:tc>
          <w:tcPr>
            <w:shd w:fill="F7F7F7"/>
            <w:noWrap/>
            <w:tcW w:w="833" w:type="dxa"/>
          </w:tcPr>
          <w:p>
            <w:bookmarkStart w:id="10235" w:name="YH_c282ade0_235"/>
            <w:r>
              <w:rPr>
                <w:rFonts w:ascii="Times New Roman" w:hAnsi="Times New Roman" w:eastAsia="宋体" w:cs="Times New Roman"/>
                <w:sz w:val="18"/>
              </w:rPr>
              <w:t xml:space="preserve">100.00%</w:t>
            </w:r>
            <w:bookmarkEnd w:id="10235"/>
          </w:p>
        </w:tc>
      </w:tr>
    </w:tbl>
    <w:p>
      <w:pPr>
        <w:pageBreakBefore/>
        <w:snapToGrid w:val="0"/>
      </w:pPr>
    </w:p>
    <w:p>
      <w:bookmarkStart w:id="31004" w:name="YH_SEC_T4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三、成本要素明细分析</w:t>
      </w:r>
      <w:bookmarkEnd w:id="31004"/>
    </w:p>
    <w:p>
      <w:bookmarkStart w:id="31005" w:name="YH_SEC_T5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3.1 直接材料分析</w:t>
      </w:r>
      <w:bookmarkEnd w:id="31005"/>
    </w:p>
    <w:p>
      <w:bookmarkStart w:id="31006" w:name="YH_SEC_6"/>
      <w:pPr>
        <w:pStyle w:val="Heading3"/>
        <w:spacing w:line="360" w:lineRule="auto"/>
        <w:outlineLvl w:val="3"/>
      </w:pPr>
      <w:r>
        <w:rPr>
          <w:rFonts w:ascii="Times New Roman" w:hAnsi="Times New Roman" w:eastAsia="黑体" w:cs="Times New Roman"/>
          <w:b/>
          <w:color w:val="000000"/>
          <w:sz w:val="24"/>
        </w:rPr>
        <w:t>3.1.1 原材料成本明细</w:t>
      </w:r>
      <w:bookmarkEnd w:id="31006"/>
    </w:p>
    <w:p>
      <w:bookmarkStart w:id="10240" w:name="YH_c282ade0_240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240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表3-1 原材料成本明细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31"/>
        <w:gridCol w:w="1600"/>
        <w:gridCol w:w="1909"/>
        <w:gridCol w:w="1906"/>
        <w:gridCol w:w="1501"/>
        <w:gridCol w:w="1618"/>
      </w:tblGrid>
      <w:tr>
        <w:trPr>
          <w:tblHeader/>
          <w:cantSplit/>
        </w:trPr>
        <w:tc>
          <w:tcPr>
            <w:vAlign w:val="center"/>
            <w:shd w:fill="D9D9D9"/>
            <w:tcW w:w="431" w:type="dxa"/>
          </w:tcPr>
          <w:p>
            <w:pPr>
              <w:jc w:val="center"/>
            </w:pPr>
            <w:bookmarkStart w:id="40000" w:name="YHU_TBL_0"/>
            <w:r>
              <w:rPr>
                <w:rFonts w:ascii="Times New Roman" w:hAnsi="Times New Roman" w:eastAsia="宋体" w:cs="Times New Roman"/>
                <w:b/>
                <w:sz w:val="18"/>
              </w:rPr>
              <w:t>序号</w:t>
            </w:r>
            <w:bookmarkEnd w:id="40000"/>
          </w:p>
        </w:tc>
        <w:tc>
          <w:tcPr>
            <w:vAlign w:val="center"/>
            <w:shd w:fill="D9D9D9"/>
            <w:tcW w:w="160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原材料名称</w:t>
            </w:r>
          </w:p>
        </w:tc>
        <w:tc>
          <w:tcPr>
            <w:vAlign w:val="center"/>
            <w:shd w:fill="D9D9D9"/>
            <w:tcW w:w="1909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本期单位耗用成本(元/盒)</w:t>
            </w:r>
          </w:p>
        </w:tc>
        <w:tc>
          <w:tcPr>
            <w:vAlign w:val="center"/>
            <w:shd w:fill="D9D9D9"/>
            <w:tcW w:w="1906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上期品种单位成本(元/盒)</w:t>
            </w:r>
          </w:p>
        </w:tc>
        <w:tc>
          <w:tcPr>
            <w:vAlign w:val="center"/>
            <w:shd w:fill="D9D9D9"/>
            <w:tcW w:w="150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环比变动（品种级）</w:t>
            </w:r>
          </w:p>
        </w:tc>
        <w:tc>
          <w:tcPr>
            <w:vAlign w:val="center"/>
            <w:shd w:fill="D9D9D9"/>
            <w:tcW w:w="161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变动原因初步判断</w:t>
            </w:r>
          </w:p>
        </w:tc>
      </w:tr>
      <w:tr>
        <w:trPr>
          <w:cantSplit/>
        </w:trPr>
        <w:tc>
          <w:tcPr>
            <w:vAlign w:val="center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vAlign w:val="center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金银花</w:t>
            </w:r>
          </w:p>
        </w:tc>
        <w:tc>
          <w:tcPr>
            <w:vAlign w:val="center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3.5</w:t>
            </w:r>
          </w:p>
        </w:tc>
        <w:tc>
          <w:tcPr>
            <w:vAlign w:val="center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3.35</w:t>
            </w:r>
          </w:p>
        </w:tc>
        <w:tc>
          <w:tcPr>
            <w:vAlign w:val="center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+4.48%</w:t>
            </w:r>
          </w:p>
        </w:tc>
        <w:tc>
          <w:tcPr>
            <w:vAlign w:val="center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68.18%（品种级），优先核查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vAlign w:val="center"/>
            <w:shd w:fill="F7F7F7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黄芩提取物</w:t>
            </w:r>
          </w:p>
        </w:tc>
        <w:tc>
          <w:tcPr>
            <w:vAlign w:val="center"/>
            <w:shd w:fill="F7F7F7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2.2</w:t>
            </w:r>
          </w:p>
        </w:tc>
        <w:tc>
          <w:tcPr>
            <w:vAlign w:val="center"/>
            <w:shd w:fill="F7F7F7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2.15</w:t>
            </w:r>
          </w:p>
        </w:tc>
        <w:tc>
          <w:tcPr>
            <w:vAlign w:val="center"/>
            <w:shd w:fill="F7F7F7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+2.33%</w:t>
            </w:r>
          </w:p>
        </w:tc>
        <w:tc>
          <w:tcPr>
            <w:vAlign w:val="center"/>
            <w:shd w:fill="F7F7F7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22.73%（品种级），优先核查</w:t>
            </w:r>
          </w:p>
        </w:tc>
      </w:tr>
      <w:tr>
        <w:trPr>
          <w:cantSplit/>
        </w:trPr>
        <w:tc>
          <w:tcPr>
            <w:vAlign w:val="center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vAlign w:val="center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蔗糖</w:t>
            </w:r>
          </w:p>
        </w:tc>
        <w:tc>
          <w:tcPr>
            <w:vAlign w:val="center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0.48</w:t>
            </w:r>
          </w:p>
        </w:tc>
        <w:tc>
          <w:tcPr>
            <w:vAlign w:val="center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0.47</w:t>
            </w:r>
          </w:p>
        </w:tc>
        <w:tc>
          <w:tcPr>
            <w:vAlign w:val="center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+2.13%</w:t>
            </w:r>
          </w:p>
        </w:tc>
        <w:tc>
          <w:tcPr>
            <w:vAlign w:val="center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4.55%（品种级），优先核查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vAlign w:val="center"/>
            <w:shd w:fill="F7F7F7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苯甲酸钠</w:t>
            </w:r>
          </w:p>
        </w:tc>
        <w:tc>
          <w:tcPr>
            <w:vAlign w:val="center"/>
            <w:shd w:fill="F7F7F7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0.16</w:t>
            </w:r>
          </w:p>
        </w:tc>
        <w:tc>
          <w:tcPr>
            <w:vAlign w:val="center"/>
            <w:shd w:fill="F7F7F7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0.16</w:t>
            </w:r>
          </w:p>
        </w:tc>
        <w:tc>
          <w:tcPr>
            <w:vAlign w:val="center"/>
            <w:shd w:fill="F7F7F7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+0.00%</w:t>
            </w:r>
          </w:p>
        </w:tc>
        <w:tc>
          <w:tcPr>
            <w:vAlign w:val="center"/>
            <w:shd w:fill="F7F7F7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0.00%（品种级），优先核查</w:t>
            </w:r>
          </w:p>
        </w:tc>
      </w:tr>
      <w:tr>
        <w:trPr>
          <w:cantSplit/>
        </w:trPr>
        <w:tc>
          <w:tcPr>
            <w:vAlign w:val="center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vAlign w:val="center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纯化水</w:t>
            </w:r>
          </w:p>
        </w:tc>
        <w:tc>
          <w:tcPr>
            <w:vAlign w:val="center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0.08</w:t>
            </w:r>
          </w:p>
        </w:tc>
        <w:tc>
          <w:tcPr>
            <w:vAlign w:val="center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0.08</w:t>
            </w:r>
          </w:p>
        </w:tc>
        <w:tc>
          <w:tcPr>
            <w:vAlign w:val="center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+0.00%</w:t>
            </w:r>
          </w:p>
        </w:tc>
        <w:tc>
          <w:tcPr>
            <w:vAlign w:val="center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0.00%（品种级），优先核查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</w:t>
            </w:r>
          </w:p>
        </w:tc>
        <w:tc>
          <w:tcPr>
            <w:vAlign w:val="center"/>
            <w:shd w:fill="F7F7F7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包装材料(盒+说明书)</w:t>
            </w:r>
          </w:p>
        </w:tc>
        <w:tc>
          <w:tcPr>
            <w:vAlign w:val="center"/>
            <w:shd w:fill="F7F7F7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0.88</w:t>
            </w:r>
          </w:p>
        </w:tc>
        <w:tc>
          <w:tcPr>
            <w:vAlign w:val="center"/>
            <w:shd w:fill="F7F7F7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0.87</w:t>
            </w:r>
          </w:p>
        </w:tc>
        <w:tc>
          <w:tcPr>
            <w:vAlign w:val="center"/>
            <w:shd w:fill="F7F7F7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+1.15%</w:t>
            </w:r>
          </w:p>
        </w:tc>
        <w:tc>
          <w:tcPr>
            <w:vAlign w:val="center"/>
            <w:shd w:fill="F7F7F7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4.55%（品种级），优先核查</w:t>
            </w:r>
          </w:p>
        </w:tc>
      </w:tr>
    </w:tbl>
    <w:p>
      <w:pPr>
        <w:spacing w:line="360" w:lineRule="auto"/>
        <w:ind w:firstLine="420"/>
        <w:rPr>
          <w:sz w:val="15"/>
        </w:rPr>
        <w:snapToGrid w:val="0"/>
      </w:pPr>
      <w:r>
        <w:rPr>
          <w:rFonts w:ascii="Times New Roman" w:hAnsi="Times New Roman" w:eastAsia="宋体" w:cs="Times New Roman"/>
        </w:rPr>
        <w:t xml:space="preserve">注：本期列来自所选期间的原料明细；上期列、环比与贡献占比按品种聚合。单位耗用成本不等同采购单价，批次价格与用量见原始明细。</w:t>
      </w:r>
    </w:p>
    <w:p>
      <w:bookmarkStart w:id="31007" w:name="YH_SEC_7"/>
      <w:pPr>
        <w:pStyle w:val="Heading3"/>
        <w:spacing w:line="360" w:lineRule="auto"/>
        <w:outlineLvl w:val="3"/>
      </w:pPr>
      <w:r>
        <w:rPr>
          <w:rFonts w:ascii="Times New Roman" w:hAnsi="Times New Roman" w:eastAsia="黑体" w:cs="Times New Roman"/>
          <w:b/>
          <w:color w:val="000000"/>
          <w:sz w:val="24"/>
        </w:rPr>
        <w:t>3.1.2 材料成本变动归因</w:t>
      </w:r>
      <w:bookmarkEnd w:id="31007"/>
    </w:p>
    <w:p>
      <w:bookmarkStart w:id="10242" w:name="YH_c282ade0_242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直接材料每盒 7.30 元，比上期变动 0.22 元，占单位成本变动的 70.97%。</w:t>
        <w:br/>
        <w:t xml:space="preserve">金银花：3.35 → 3.50 元/盒，变动 0.15 元/盒，占材料增量 68.18%；黄芩提取物：2.15 → 2.20 元/盒，变动 0.05 元/盒，占材料增量 22.73%；包装材料(盒+说明书)：0.87 → 0.88 元/盒，变动 0.01 元/盒，占材料增量 4.55%；蔗糖：0.47 → 0.48 元/盒，变动 0.01 元/盒，占材料增量 4.55%。 单位消耗成本同时受价格和实耗影响；需采购入库单、批次领退料及合格产出记录，才能分别核验价格与耗量。</w:t>
        <w:br/>
        <w:t xml:space="preserve">提取收率变化可能影响每盒材料耗用；现有工艺文档给出控制要求，尚不能证明本期实际收率下降。需将批次投料和合格产出与上期对照核查。</w:t>
      </w:r>
      <w:bookmarkEnd w:id="10242"/>
    </w:p>
    <w:p>
      <w:bookmarkStart w:id="31008" w:name="YH_SEC_T6"/>
      <w:pPr>
        <w:pStyle w:val="3"/>
        <w:pageBreakBefore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3.2 直接人工分析</w:t>
      </w:r>
      <w:bookmarkEnd w:id="31008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表3-2 直接人工分析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5293"/>
        <w:gridCol w:w="734"/>
        <w:gridCol w:w="734"/>
        <w:gridCol w:w="734"/>
        <w:gridCol w:w="1470"/>
      </w:tblGrid>
      <w:tr>
        <w:trPr>
          <w:tblHeader/>
          <w:cantSplit/>
        </w:trPr>
        <w:tc>
          <w:tcPr>
            <w:shd w:fill="D9D9D9"/>
            <w:tcW w:w="529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指标</w:t>
            </w:r>
          </w:p>
        </w:tc>
        <w:tc>
          <w:tcPr>
            <w:shd w:fill="D9D9D9"/>
            <w:tcW w:w="7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本月</w:t>
            </w:r>
          </w:p>
        </w:tc>
        <w:tc>
          <w:tcPr>
            <w:shd w:fill="D9D9D9"/>
            <w:tcW w:w="7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上月</w:t>
            </w:r>
          </w:p>
        </w:tc>
        <w:tc>
          <w:tcPr>
            <w:shd w:fill="D9D9D9"/>
            <w:tcW w:w="7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</w:t>
            </w:r>
          </w:p>
        </w:tc>
        <w:tc>
          <w:tcPr>
            <w:shd w:fill="D9D9D9"/>
            <w:tcW w:w="147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w="529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单位人工成本(元/盒)</w:t>
            </w:r>
          </w:p>
        </w:tc>
        <w:tc>
          <w:tcPr>
            <w:noWrap/>
            <w:tcW w:w="734" w:type="dxa"/>
          </w:tcPr>
          <w:p>
            <w:bookmarkStart w:id="10250" w:name="YH_c282ade0_250"/>
            <w:r>
              <w:rPr>
                <w:rFonts w:ascii="Times New Roman" w:hAnsi="Times New Roman" w:eastAsia="宋体" w:cs="Times New Roman"/>
                <w:sz w:val="18"/>
              </w:rPr>
              <w:t xml:space="preserve">1.53</w:t>
            </w:r>
            <w:bookmarkEnd w:id="10250"/>
          </w:p>
        </w:tc>
        <w:tc>
          <w:tcPr>
            <w:noWrap/>
            <w:tcW w:w="734" w:type="dxa"/>
          </w:tcPr>
          <w:p>
            <w:bookmarkStart w:id="10251" w:name="YH_c282ade0_251"/>
            <w:r>
              <w:rPr>
                <w:rFonts w:ascii="Times New Roman" w:hAnsi="Times New Roman" w:eastAsia="宋体" w:cs="Times New Roman"/>
                <w:sz w:val="18"/>
              </w:rPr>
              <w:t xml:space="preserve">1.50</w:t>
            </w:r>
            <w:bookmarkEnd w:id="10251"/>
          </w:p>
        </w:tc>
        <w:tc>
          <w:tcPr>
            <w:noWrap/>
            <w:tcW w:w="734" w:type="dxa"/>
          </w:tcPr>
          <w:p>
            <w:bookmarkStart w:id="10252" w:name="YH_c282ade0_252"/>
            <w:r>
              <w:rPr>
                <w:rFonts w:ascii="Times New Roman" w:hAnsi="Times New Roman" w:eastAsia="宋体" w:cs="Times New Roman"/>
                <w:sz w:val="18"/>
              </w:rPr>
              <w:t xml:space="preserve">2.00%</w:t>
            </w:r>
            <w:bookmarkEnd w:id="10252"/>
          </w:p>
        </w:tc>
        <w:tc>
          <w:tcPr>
            <w:tcW w:w="1470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  <w:tr>
        <w:trPr>
          <w:cantSplit/>
        </w:trPr>
        <w:tc>
          <w:tcPr>
            <w:shd w:fill="F7F7F7"/>
            <w:tcW w:w="529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人工工时(h/万盒)</w:t>
            </w:r>
          </w:p>
        </w:tc>
        <w:tc>
          <w:tcPr>
            <w:shd w:fill="F7F7F7"/>
            <w:noWrap/>
            <w:tcW w:w="734" w:type="dxa"/>
          </w:tcPr>
          <w:p>
            <w:bookmarkStart w:id="10255" w:name="YH_c282ade0_255"/>
            <w:r>
              <w:rPr>
                <w:rFonts w:ascii="Times New Roman" w:hAnsi="Times New Roman" w:eastAsia="宋体" w:cs="Times New Roman"/>
                <w:sz w:val="18"/>
              </w:rPr>
              <w:t xml:space="preserve">231.72</w:t>
            </w:r>
            <w:bookmarkEnd w:id="10255"/>
          </w:p>
        </w:tc>
        <w:tc>
          <w:tcPr>
            <w:shd w:fill="F7F7F7"/>
            <w:noWrap/>
            <w:tcW w:w="734" w:type="dxa"/>
          </w:tcPr>
          <w:p>
            <w:bookmarkStart w:id="10256" w:name="YH_c282ade0_256"/>
            <w:r>
              <w:rPr>
                <w:rFonts w:ascii="Times New Roman" w:hAnsi="Times New Roman" w:eastAsia="宋体" w:cs="Times New Roman"/>
                <w:sz w:val="18"/>
              </w:rPr>
              <w:t xml:space="preserve">256.00</w:t>
            </w:r>
            <w:bookmarkEnd w:id="10256"/>
          </w:p>
        </w:tc>
        <w:tc>
          <w:tcPr>
            <w:shd w:fill="F7F7F7"/>
            <w:noWrap/>
            <w:tcW w:w="734" w:type="dxa"/>
          </w:tcPr>
          <w:p>
            <w:bookmarkStart w:id="10257" w:name="YH_c282ade0_257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-9.48%</w:t>
            </w:r>
            <w:bookmarkEnd w:id="10257"/>
          </w:p>
        </w:tc>
        <w:tc>
          <w:tcPr>
            <w:shd w:fill="F7F7F7"/>
            <w:tcW w:w="1470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w="529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平均小时工资(元/h)</w:t>
            </w:r>
          </w:p>
        </w:tc>
        <w:tc>
          <w:tcPr>
            <w:noWrap/>
            <w:tcW w:w="734" w:type="dxa"/>
          </w:tcPr>
          <w:p>
            <w:bookmarkStart w:id="10260" w:name="YH_c282ade0_260"/>
            <w:r>
              <w:rPr>
                <w:rFonts w:ascii="Times New Roman" w:hAnsi="Times New Roman" w:eastAsia="宋体" w:cs="Times New Roman"/>
                <w:sz w:val="18"/>
              </w:rPr>
              <w:t xml:space="preserve">66.03</w:t>
            </w:r>
            <w:bookmarkEnd w:id="10260"/>
          </w:p>
        </w:tc>
        <w:tc>
          <w:tcPr>
            <w:noWrap/>
            <w:tcW w:w="734" w:type="dxa"/>
          </w:tcPr>
          <w:p>
            <w:bookmarkStart w:id="10261" w:name="YH_c282ade0_261"/>
            <w:r>
              <w:rPr>
                <w:rFonts w:ascii="Times New Roman" w:hAnsi="Times New Roman" w:eastAsia="宋体" w:cs="Times New Roman"/>
                <w:sz w:val="18"/>
              </w:rPr>
              <w:t xml:space="preserve">58.59</w:t>
            </w:r>
            <w:bookmarkEnd w:id="10261"/>
          </w:p>
        </w:tc>
        <w:tc>
          <w:tcPr>
            <w:noWrap/>
            <w:tcW w:w="734" w:type="dxa"/>
          </w:tcPr>
          <w:p>
            <w:bookmarkStart w:id="10262" w:name="YH_c282ade0_262"/>
            <w:r>
              <w:rPr>
                <w:rFonts w:ascii="Times New Roman" w:hAnsi="Times New Roman" w:eastAsia="宋体" w:cs="Times New Roman"/>
                <w:sz w:val="18"/>
              </w:rPr>
              <w:t xml:space="preserve">12.69%</w:t>
            </w:r>
            <w:bookmarkEnd w:id="10262"/>
          </w:p>
        </w:tc>
        <w:tc>
          <w:tcPr>
            <w:tcW w:w="1470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  <w:tr>
        <w:trPr>
          <w:cantSplit/>
        </w:trPr>
        <w:tc>
          <w:tcPr>
            <w:shd w:fill="F7F7F7"/>
            <w:tcW w:w="529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人工效率(盒/人·日)</w:t>
            </w:r>
          </w:p>
        </w:tc>
        <w:tc>
          <w:tcPr>
            <w:shd w:fill="F7F7F7"/>
            <w:noWrap/>
            <w:tcW w:w="734" w:type="dxa"/>
          </w:tcPr>
          <w:p>
            <w:bookmarkStart w:id="10265" w:name="YH_c282ade0_265"/>
            <w:r>
              <w:rPr>
                <w:rFonts w:ascii="Times New Roman" w:hAnsi="Times New Roman" w:eastAsia="宋体" w:cs="Times New Roman"/>
                <w:sz w:val="18"/>
              </w:rPr>
              <w:t xml:space="preserve">345.24</w:t>
            </w:r>
            <w:bookmarkEnd w:id="10265"/>
          </w:p>
        </w:tc>
        <w:tc>
          <w:tcPr>
            <w:shd w:fill="F7F7F7"/>
            <w:noWrap/>
            <w:tcW w:w="734" w:type="dxa"/>
          </w:tcPr>
          <w:p>
            <w:bookmarkStart w:id="10266" w:name="YH_c282ade0_266"/>
            <w:r>
              <w:rPr>
                <w:rFonts w:ascii="Times New Roman" w:hAnsi="Times New Roman" w:eastAsia="宋体" w:cs="Times New Roman"/>
                <w:sz w:val="18"/>
              </w:rPr>
              <w:t xml:space="preserve">312.50</w:t>
            </w:r>
            <w:bookmarkEnd w:id="10266"/>
          </w:p>
        </w:tc>
        <w:tc>
          <w:tcPr>
            <w:shd w:fill="F7F7F7"/>
            <w:noWrap/>
            <w:tcW w:w="734" w:type="dxa"/>
          </w:tcPr>
          <w:p>
            <w:bookmarkStart w:id="10267" w:name="YH_c282ade0_267"/>
            <w:r>
              <w:rPr>
                <w:rFonts w:ascii="Times New Roman" w:hAnsi="Times New Roman" w:eastAsia="宋体" w:cs="Times New Roman"/>
                <w:sz w:val="18"/>
              </w:rPr>
              <w:t xml:space="preserve">10.48%</w:t>
            </w:r>
            <w:bookmarkEnd w:id="10267"/>
          </w:p>
        </w:tc>
        <w:tc>
          <w:tcPr>
            <w:shd w:fill="F7F7F7"/>
            <w:tcW w:w="1470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</w:tbl>
    <w:p>
      <w:pPr>
        <w:snapToGrid w:val="0"/>
      </w:pP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直接人工每盒 1.53 元，比上期变动 0.03 元，占单位成本环比变动 9.68%。平均小时工资是题包折算口径。每盒人工费用受工时、人员组成及加班影响；需核对工时台账、工资组成与返工记录，不能认定基础薪率上涨。</w:t>
      </w:r>
    </w:p>
    <w:p>
      <w:bookmarkStart w:id="31009" w:name="YH_SEC_T7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3.3 制造费用分析</w:t>
      </w:r>
      <w:bookmarkEnd w:id="31009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表3-3 制造费用分析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551"/>
        <w:gridCol w:w="1157"/>
        <w:gridCol w:w="1157"/>
        <w:gridCol w:w="860"/>
        <w:gridCol w:w="3240"/>
      </w:tblGrid>
      <w:tr>
        <w:trPr>
          <w:tblHeader/>
          <w:cantSplit/>
        </w:trPr>
        <w:tc>
          <w:tcPr>
            <w:shd w:fill="D9D9D9"/>
            <w:tcW w:w="255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费用类别</w:t>
            </w:r>
          </w:p>
        </w:tc>
        <w:tc>
          <w:tcPr>
            <w:shd w:fill="D9D9D9"/>
            <w:tcW w:w="115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本月(元/盒)</w:t>
            </w:r>
          </w:p>
        </w:tc>
        <w:tc>
          <w:tcPr>
            <w:shd w:fill="D9D9D9"/>
            <w:tcW w:w="115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上月(元/盒)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  <w:tc>
          <w:tcPr>
            <w:shd w:fill="D9D9D9"/>
            <w:tcW w:w="32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变动说明</w:t>
            </w:r>
          </w:p>
        </w:tc>
      </w:tr>
      <w:tr>
        <w:trPr>
          <w:cantSplit/>
        </w:trPr>
        <w:tc>
          <w:tcPr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折旧费</w:t>
            </w:r>
          </w:p>
        </w:tc>
        <w:tc>
          <w:tcPr>
            <w:noWrap/>
            <w:tcW w:w="1157" w:type="dxa"/>
          </w:tcPr>
          <w:p>
            <w:bookmarkStart w:id="10277" w:name="YH_c282ade0_277"/>
            <w:r>
              <w:rPr>
                <w:rFonts w:ascii="Times New Roman" w:hAnsi="Times New Roman" w:eastAsia="宋体" w:cs="Times New Roman"/>
                <w:sz w:val="18"/>
              </w:rPr>
              <w:t xml:space="preserve">0.83</w:t>
            </w:r>
            <w:bookmarkEnd w:id="10277"/>
          </w:p>
        </w:tc>
        <w:tc>
          <w:tcPr>
            <w:noWrap/>
            <w:tcW w:w="1157" w:type="dxa"/>
          </w:tcPr>
          <w:p>
            <w:bookmarkStart w:id="10278" w:name="YH_c282ade0_278"/>
            <w:r>
              <w:rPr>
                <w:rFonts w:ascii="Times New Roman" w:hAnsi="Times New Roman" w:eastAsia="宋体" w:cs="Times New Roman"/>
                <w:sz w:val="18"/>
              </w:rPr>
              <w:t xml:space="preserve">0.81</w:t>
            </w:r>
            <w:bookmarkEnd w:id="10278"/>
          </w:p>
        </w:tc>
        <w:tc>
          <w:tcPr>
            <w:noWrap/>
            <w:tcW w:w="860" w:type="dxa"/>
          </w:tcPr>
          <w:p>
            <w:bookmarkStart w:id="10279" w:name="YH_c282ade0_279"/>
            <w:r>
              <w:rPr>
                <w:rFonts w:ascii="Times New Roman" w:hAnsi="Times New Roman" w:eastAsia="宋体" w:cs="Times New Roman"/>
                <w:sz w:val="18"/>
              </w:rPr>
              <w:t xml:space="preserve">2.47%</w:t>
            </w:r>
            <w:bookmarkEnd w:id="10279"/>
          </w:p>
        </w:tc>
        <w:tc>
          <w:tcPr>
            <w:tcW w:w="3240" w:type="dxa"/>
          </w:tcPr>
          <w:p>
            <w:bookmarkStart w:id="10280" w:name="YH_c282ade0_280"/>
            <w:r>
              <w:rPr>
                <w:rFonts w:ascii="Times New Roman" w:hAnsi="Times New Roman" w:eastAsia="宋体" w:cs="Times New Roman"/>
                <w:sz w:val="18"/>
              </w:rPr>
              <w:t xml:space="preserve">折旧费变动需核对费用台账及分摊依据</w:t>
            </w:r>
            <w:bookmarkEnd w:id="10280"/>
          </w:p>
        </w:tc>
      </w:tr>
      <w:tr>
        <w:trPr>
          <w:cantSplit/>
        </w:trPr>
        <w:tc>
          <w:tcPr>
            <w:shd w:fill="F7F7F7"/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动力费(水电气)</w:t>
            </w:r>
          </w:p>
        </w:tc>
        <w:tc>
          <w:tcPr>
            <w:shd w:fill="F7F7F7"/>
            <w:noWrap/>
            <w:tcW w:w="1157" w:type="dxa"/>
          </w:tcPr>
          <w:p>
            <w:bookmarkStart w:id="10282" w:name="YH_c282ade0_282"/>
            <w:r>
              <w:rPr>
                <w:rFonts w:ascii="Times New Roman" w:hAnsi="Times New Roman" w:eastAsia="宋体" w:cs="Times New Roman"/>
                <w:sz w:val="18"/>
              </w:rPr>
              <w:t xml:space="preserve">0.56</w:t>
            </w:r>
            <w:bookmarkEnd w:id="10282"/>
          </w:p>
        </w:tc>
        <w:tc>
          <w:tcPr>
            <w:shd w:fill="F7F7F7"/>
            <w:noWrap/>
            <w:tcW w:w="1157" w:type="dxa"/>
          </w:tcPr>
          <w:p>
            <w:bookmarkStart w:id="10283" w:name="YH_c282ade0_283"/>
            <w:r>
              <w:rPr>
                <w:rFonts w:ascii="Times New Roman" w:hAnsi="Times New Roman" w:eastAsia="宋体" w:cs="Times New Roman"/>
                <w:sz w:val="18"/>
              </w:rPr>
              <w:t xml:space="preserve">0.54</w:t>
            </w:r>
            <w:bookmarkEnd w:id="10283"/>
          </w:p>
        </w:tc>
        <w:tc>
          <w:tcPr>
            <w:shd w:fill="F7F7F7"/>
            <w:noWrap/>
            <w:tcW w:w="860" w:type="dxa"/>
          </w:tcPr>
          <w:p>
            <w:bookmarkStart w:id="10284" w:name="YH_c282ade0_284"/>
            <w:r>
              <w:rPr>
                <w:rFonts w:ascii="Times New Roman" w:hAnsi="Times New Roman" w:eastAsia="宋体" w:cs="Times New Roman"/>
                <w:sz w:val="18"/>
              </w:rPr>
              <w:t xml:space="preserve">3.70%</w:t>
            </w:r>
            <w:bookmarkEnd w:id="10284"/>
          </w:p>
        </w:tc>
        <w:tc>
          <w:tcPr>
            <w:shd w:fill="F7F7F7"/>
            <w:tcW w:w="3240" w:type="dxa"/>
          </w:tcPr>
          <w:p>
            <w:bookmarkStart w:id="10285" w:name="YH_c282ade0_285"/>
            <w:r>
              <w:rPr>
                <w:rFonts w:ascii="Times New Roman" w:hAnsi="Times New Roman" w:eastAsia="宋体" w:cs="Times New Roman"/>
                <w:sz w:val="18"/>
              </w:rPr>
              <w:t xml:space="preserve">动力费(水电气)变动需核对费用台账及分摊依据</w:t>
            </w:r>
            <w:bookmarkEnd w:id="10285"/>
          </w:p>
        </w:tc>
      </w:tr>
      <w:tr>
        <w:trPr>
          <w:cantSplit/>
        </w:trPr>
        <w:tc>
          <w:tcPr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间接人工</w:t>
            </w:r>
          </w:p>
        </w:tc>
        <w:tc>
          <w:tcPr>
            <w:noWrap/>
            <w:tcW w:w="1157" w:type="dxa"/>
          </w:tcPr>
          <w:p>
            <w:bookmarkStart w:id="10287" w:name="YH_c282ade0_287"/>
            <w:r>
              <w:rPr>
                <w:rFonts w:ascii="Times New Roman" w:hAnsi="Times New Roman" w:eastAsia="宋体" w:cs="Times New Roman"/>
                <w:sz w:val="18"/>
              </w:rPr>
              <w:t xml:space="preserve">0.48</w:t>
            </w:r>
            <w:bookmarkEnd w:id="10287"/>
          </w:p>
        </w:tc>
        <w:tc>
          <w:tcPr>
            <w:noWrap/>
            <w:tcW w:w="1157" w:type="dxa"/>
          </w:tcPr>
          <w:p>
            <w:bookmarkStart w:id="10288" w:name="YH_c282ade0_288"/>
            <w:r>
              <w:rPr>
                <w:rFonts w:ascii="Times New Roman" w:hAnsi="Times New Roman" w:eastAsia="宋体" w:cs="Times New Roman"/>
                <w:sz w:val="18"/>
              </w:rPr>
              <w:t xml:space="preserve">0.47</w:t>
            </w:r>
            <w:bookmarkEnd w:id="10288"/>
          </w:p>
        </w:tc>
        <w:tc>
          <w:tcPr>
            <w:noWrap/>
            <w:tcW w:w="860" w:type="dxa"/>
          </w:tcPr>
          <w:p>
            <w:bookmarkStart w:id="10289" w:name="YH_c282ade0_289"/>
            <w:r>
              <w:rPr>
                <w:rFonts w:ascii="Times New Roman" w:hAnsi="Times New Roman" w:eastAsia="宋体" w:cs="Times New Roman"/>
                <w:sz w:val="18"/>
              </w:rPr>
              <w:t xml:space="preserve">2.13%</w:t>
            </w:r>
            <w:bookmarkEnd w:id="10289"/>
          </w:p>
        </w:tc>
        <w:tc>
          <w:tcPr>
            <w:tcW w:w="3240" w:type="dxa"/>
          </w:tcPr>
          <w:p>
            <w:bookmarkStart w:id="10290" w:name="YH_c282ade0_290"/>
            <w:r>
              <w:rPr>
                <w:rFonts w:ascii="Times New Roman" w:hAnsi="Times New Roman" w:eastAsia="宋体" w:cs="Times New Roman"/>
                <w:sz w:val="18"/>
              </w:rPr>
              <w:t xml:space="preserve">人工(间接)变动需核对费用台账及分摊依据</w:t>
            </w:r>
            <w:bookmarkEnd w:id="10290"/>
          </w:p>
        </w:tc>
      </w:tr>
      <w:tr>
        <w:trPr>
          <w:cantSplit/>
        </w:trPr>
        <w:tc>
          <w:tcPr>
            <w:shd w:fill="F7F7F7"/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检验费</w:t>
            </w:r>
          </w:p>
        </w:tc>
        <w:tc>
          <w:tcPr>
            <w:shd w:fill="F7F7F7"/>
            <w:noWrap/>
            <w:tcW w:w="1157" w:type="dxa"/>
          </w:tcPr>
          <w:p>
            <w:bookmarkStart w:id="10292" w:name="YH_c282ade0_292"/>
            <w:r>
              <w:rPr>
                <w:rFonts w:ascii="Times New Roman" w:hAnsi="Times New Roman" w:eastAsia="宋体" w:cs="Times New Roman"/>
                <w:sz w:val="18"/>
              </w:rPr>
              <w:t xml:space="preserve">0.26</w:t>
            </w:r>
            <w:bookmarkEnd w:id="10292"/>
          </w:p>
        </w:tc>
        <w:tc>
          <w:tcPr>
            <w:shd w:fill="F7F7F7"/>
            <w:noWrap/>
            <w:tcW w:w="1157" w:type="dxa"/>
          </w:tcPr>
          <w:p>
            <w:bookmarkStart w:id="10293" w:name="YH_c282ade0_293"/>
            <w:r>
              <w:rPr>
                <w:rFonts w:ascii="Times New Roman" w:hAnsi="Times New Roman" w:eastAsia="宋体" w:cs="Times New Roman"/>
                <w:sz w:val="18"/>
              </w:rPr>
              <w:t xml:space="preserve">0.25</w:t>
            </w:r>
            <w:bookmarkEnd w:id="10293"/>
          </w:p>
        </w:tc>
        <w:tc>
          <w:tcPr>
            <w:shd w:fill="F7F7F7"/>
            <w:noWrap/>
            <w:tcW w:w="860" w:type="dxa"/>
          </w:tcPr>
          <w:p>
            <w:bookmarkStart w:id="10294" w:name="YH_c282ade0_294"/>
            <w:r>
              <w:rPr>
                <w:rFonts w:ascii="Times New Roman" w:hAnsi="Times New Roman" w:eastAsia="宋体" w:cs="Times New Roman"/>
                <w:sz w:val="18"/>
              </w:rPr>
              <w:t xml:space="preserve">4.00%</w:t>
            </w:r>
            <w:bookmarkEnd w:id="10294"/>
          </w:p>
        </w:tc>
        <w:tc>
          <w:tcPr>
            <w:shd w:fill="F7F7F7"/>
            <w:tcW w:w="3240" w:type="dxa"/>
          </w:tcPr>
          <w:p>
            <w:bookmarkStart w:id="10295" w:name="YH_c282ade0_295"/>
            <w:r>
              <w:rPr>
                <w:rFonts w:ascii="Times New Roman" w:hAnsi="Times New Roman" w:eastAsia="宋体" w:cs="Times New Roman"/>
                <w:sz w:val="18"/>
              </w:rPr>
              <w:t xml:space="preserve">检验费变动需核对费用台账及分摊依据</w:t>
            </w:r>
            <w:bookmarkEnd w:id="10295"/>
          </w:p>
        </w:tc>
      </w:tr>
      <w:tr>
        <w:trPr>
          <w:cantSplit/>
        </w:trPr>
        <w:tc>
          <w:tcPr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其他制造费用</w:t>
            </w:r>
          </w:p>
        </w:tc>
        <w:tc>
          <w:tcPr>
            <w:noWrap/>
            <w:tcW w:w="1157" w:type="dxa"/>
          </w:tcPr>
          <w:p>
            <w:bookmarkStart w:id="10297" w:name="YH_c282ade0_297"/>
            <w:r>
              <w:rPr>
                <w:rFonts w:ascii="Times New Roman" w:hAnsi="Times New Roman" w:eastAsia="宋体" w:cs="Times New Roman"/>
                <w:sz w:val="18"/>
              </w:rPr>
              <w:t xml:space="preserve">0.25</w:t>
            </w:r>
            <w:bookmarkEnd w:id="10297"/>
          </w:p>
        </w:tc>
        <w:tc>
          <w:tcPr>
            <w:noWrap/>
            <w:tcW w:w="1157" w:type="dxa"/>
          </w:tcPr>
          <w:p>
            <w:bookmarkStart w:id="10298" w:name="YH_c282ade0_298"/>
            <w:r>
              <w:rPr>
                <w:rFonts w:ascii="Times New Roman" w:hAnsi="Times New Roman" w:eastAsia="宋体" w:cs="Times New Roman"/>
                <w:sz w:val="18"/>
              </w:rPr>
              <w:t xml:space="preserve">0.25</w:t>
            </w:r>
            <w:bookmarkEnd w:id="10298"/>
          </w:p>
        </w:tc>
        <w:tc>
          <w:tcPr>
            <w:noWrap/>
            <w:tcW w:w="860" w:type="dxa"/>
          </w:tcPr>
          <w:p>
            <w:bookmarkStart w:id="10299" w:name="YH_c282ade0_299"/>
            <w:r>
              <w:rPr>
                <w:rFonts w:ascii="Times New Roman" w:hAnsi="Times New Roman" w:eastAsia="宋体" w:cs="Times New Roman"/>
                <w:sz w:val="18"/>
              </w:rPr>
              <w:t xml:space="preserve">0.00%</w:t>
            </w:r>
            <w:bookmarkEnd w:id="10299"/>
          </w:p>
        </w:tc>
        <w:tc>
          <w:tcPr>
            <w:tcW w:w="3240" w:type="dxa"/>
          </w:tcPr>
          <w:p>
            <w:bookmarkStart w:id="10300" w:name="YH_c282ade0_300"/>
            <w:r>
              <w:rPr>
                <w:rFonts w:ascii="Times New Roman" w:hAnsi="Times New Roman" w:eastAsia="宋体" w:cs="Times New Roman"/>
                <w:sz w:val="18"/>
              </w:rPr>
              <w:t xml:space="preserve">其他制造费用变动需核对费用台账及分摊依据</w:t>
            </w:r>
            <w:bookmarkEnd w:id="10300"/>
          </w:p>
        </w:tc>
      </w:tr>
      <w:tr>
        <w:trPr>
          <w:cantSplit/>
        </w:trPr>
        <w:tc>
          <w:tcPr>
            <w:shd w:fill="F7F7F7"/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合计</w:t>
            </w:r>
          </w:p>
        </w:tc>
        <w:tc>
          <w:tcPr>
            <w:shd w:fill="F7F7F7"/>
            <w:noWrap/>
            <w:tcW w:w="1157" w:type="dxa"/>
          </w:tcPr>
          <w:p>
            <w:bookmarkStart w:id="10302" w:name="YH_c282ade0_302"/>
            <w:r>
              <w:rPr>
                <w:rFonts w:ascii="Times New Roman" w:hAnsi="Times New Roman" w:eastAsia="宋体" w:cs="Times New Roman"/>
                <w:sz w:val="18"/>
              </w:rPr>
              <w:t xml:space="preserve">2.38</w:t>
            </w:r>
            <w:bookmarkEnd w:id="10302"/>
          </w:p>
        </w:tc>
        <w:tc>
          <w:tcPr>
            <w:shd w:fill="F7F7F7"/>
            <w:noWrap/>
            <w:tcW w:w="1157" w:type="dxa"/>
          </w:tcPr>
          <w:p>
            <w:bookmarkStart w:id="10303" w:name="YH_c282ade0_303"/>
            <w:r>
              <w:rPr>
                <w:rFonts w:ascii="Times New Roman" w:hAnsi="Times New Roman" w:eastAsia="宋体" w:cs="Times New Roman"/>
                <w:sz w:val="18"/>
              </w:rPr>
              <w:t xml:space="preserve">2.32</w:t>
            </w:r>
            <w:bookmarkEnd w:id="10303"/>
          </w:p>
        </w:tc>
        <w:tc>
          <w:tcPr>
            <w:shd w:fill="F7F7F7"/>
            <w:noWrap/>
            <w:tcW w:w="860" w:type="dxa"/>
          </w:tcPr>
          <w:p>
            <w:bookmarkStart w:id="10304" w:name="YH_c282ade0_304"/>
            <w:r>
              <w:rPr>
                <w:rFonts w:ascii="Times New Roman" w:hAnsi="Times New Roman" w:eastAsia="宋体" w:cs="Times New Roman"/>
                <w:sz w:val="18"/>
              </w:rPr>
              <w:t xml:space="preserve">2.59%</w:t>
            </w:r>
            <w:bookmarkEnd w:id="10304"/>
          </w:p>
        </w:tc>
        <w:tc>
          <w:tcPr>
            <w:shd w:fill="F7F7F7"/>
            <w:tcW w:w="3240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</w:tbl>
    <w:p>
      <w:pPr>
        <w:snapToGrid w:val="0"/>
      </w:pP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制造费用每盒 2.38 元，比上期变动 0.06 元，占单位成本环比变动 19.35%。按费用台账和分配基数检查变化。维修事件只有在产品、期间及入账范围一致时才用于本期解释；不得将维修金额重复计入总成本。</w:t>
      </w:r>
    </w:p>
    <w:p>
      <w:bookmarkStart w:id="31010" w:name="YH_SEC_T8"/>
      <w:bookmarkStart w:id="10307" w:name="YH_c282ade0_307"/>
      <w:pPr>
        <w:pStyle w:val="2"/>
        <w:pageBreakBefore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 xml:space="preserve">四、重点产品专项分析 — 银黄口服液</w:t>
      </w:r>
      <w:bookmarkEnd w:id="10307"/>
      <w:bookmarkEnd w:id="31010"/>
    </w:p>
    <w:p>
      <w:bookmarkStart w:id="31011" w:name="YH_SEC_T9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4.1 近6个月单位成本趋势</w:t>
      </w:r>
      <w:bookmarkEnd w:id="31011"/>
    </w:p>
    <w:p>
      <w:bookmarkStart w:id="10309" w:name="YH_c282ade0_309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09"/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1753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753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图4-1 单位成本趋势（纵轴范围见刻度）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表4-1 近6个月成本趋势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1205"/>
        <w:gridCol w:w="837"/>
        <w:gridCol w:w="1440"/>
        <w:gridCol w:w="1440"/>
        <w:gridCol w:w="1781"/>
        <w:gridCol w:w="1440"/>
        <w:gridCol w:w="820"/>
      </w:tblGrid>
      <w:tr>
        <w:trPr>
          <w:tblHeader/>
          <w:cantSplit/>
        </w:trPr>
        <w:tc>
          <w:tcPr>
            <w:vAlign w:val="center"/>
            <w:shd w:fill="D9D9D9"/>
            <w:tcW w:w="1205" w:type="dxa"/>
          </w:tcPr>
          <w:p>
            <w:pPr>
              <w:jc w:val="center"/>
            </w:pPr>
            <w:bookmarkStart w:id="40001" w:name="YHU_TBL_1"/>
            <w:r>
              <w:rPr>
                <w:rFonts w:ascii="Times New Roman" w:hAnsi="Times New Roman" w:eastAsia="宋体" w:cs="Times New Roman"/>
                <w:b/>
                <w:sz w:val="18"/>
              </w:rPr>
              <w:t>月份</w:t>
            </w:r>
            <w:bookmarkEnd w:id="40001"/>
          </w:p>
        </w:tc>
        <w:tc>
          <w:tcPr>
            <w:vAlign w:val="center"/>
            <w:shd w:fill="D9D9D9"/>
            <w:tcW w:w="83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产量(盒)</w:t>
            </w:r>
          </w:p>
        </w:tc>
        <w:tc>
          <w:tcPr>
            <w:vAlign w:val="center"/>
            <w:shd w:fill="D9D9D9"/>
            <w:tcW w:w="14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单位材料(元/盒)</w:t>
            </w:r>
          </w:p>
        </w:tc>
        <w:tc>
          <w:tcPr>
            <w:vAlign w:val="center"/>
            <w:shd w:fill="D9D9D9"/>
            <w:tcW w:w="14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单位人工(元/盒)</w:t>
            </w:r>
          </w:p>
        </w:tc>
        <w:tc>
          <w:tcPr>
            <w:vAlign w:val="center"/>
            <w:shd w:fill="D9D9D9"/>
            <w:tcW w:w="178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单位制造费用(元/盒)</w:t>
            </w:r>
          </w:p>
        </w:tc>
        <w:tc>
          <w:tcPr>
            <w:vAlign w:val="center"/>
            <w:shd w:fill="D9D9D9"/>
            <w:tcW w:w="14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单位成本(元/盒)</w:t>
            </w:r>
          </w:p>
        </w:tc>
        <w:tc>
          <w:tcPr>
            <w:vAlign w:val="center"/>
            <w:shd w:fill="D9D9D9"/>
            <w:tcW w:w="82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</w:tr>
      <w:tr>
        <w:trPr>
          <w:cantSplit/>
        </w:trPr>
        <w:tc>
          <w:tcPr>
            <w:vAlign w:val="center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2026-01</w:t>
            </w:r>
          </w:p>
        </w:tc>
        <w:tc>
          <w:tcPr>
            <w:vAlign w:val="center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45000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6.83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1.52</w:t>
            </w:r>
          </w:p>
        </w:tc>
        <w:tc>
          <w:tcPr>
            <w:vAlign w:val="center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2.35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10.70</w:t>
            </w:r>
          </w:p>
        </w:tc>
        <w:tc>
          <w:tcPr>
            <w:vAlign w:val="center"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2026-02</w:t>
            </w:r>
          </w:p>
        </w:tc>
        <w:tc>
          <w:tcPr>
            <w:vAlign w:val="center"/>
            <w:shd w:fill="F7F7F7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38000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6.92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1.55</w:t>
            </w:r>
          </w:p>
        </w:tc>
        <w:tc>
          <w:tcPr>
            <w:vAlign w:val="center"/>
            <w:shd w:fill="F7F7F7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2.40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10.87</w:t>
            </w:r>
          </w:p>
        </w:tc>
        <w:tc>
          <w:tcPr>
            <w:vAlign w:val="center"/>
            <w:shd w:fill="F7F7F7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+1.59%</w:t>
            </w:r>
          </w:p>
        </w:tc>
      </w:tr>
      <w:tr>
        <w:trPr>
          <w:cantSplit/>
        </w:trPr>
        <w:tc>
          <w:tcPr>
            <w:vAlign w:val="center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2026-03</w:t>
            </w:r>
          </w:p>
        </w:tc>
        <w:tc>
          <w:tcPr>
            <w:vAlign w:val="center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52000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6.77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1.48</w:t>
            </w:r>
          </w:p>
        </w:tc>
        <w:tc>
          <w:tcPr>
            <w:vAlign w:val="center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2.28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10.53</w:t>
            </w:r>
          </w:p>
        </w:tc>
        <w:tc>
          <w:tcPr>
            <w:vAlign w:val="center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-3.13%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2026-04</w:t>
            </w:r>
          </w:p>
        </w:tc>
        <w:tc>
          <w:tcPr>
            <w:vAlign w:val="center"/>
            <w:shd w:fill="F7F7F7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55000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7.08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1.50</w:t>
            </w:r>
          </w:p>
        </w:tc>
        <w:tc>
          <w:tcPr>
            <w:vAlign w:val="center"/>
            <w:shd w:fill="F7F7F7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2.32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10.90</w:t>
            </w:r>
          </w:p>
        </w:tc>
        <w:tc>
          <w:tcPr>
            <w:vAlign w:val="center"/>
            <w:shd w:fill="F7F7F7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+3.51%</w:t>
            </w:r>
          </w:p>
        </w:tc>
      </w:tr>
      <w:tr>
        <w:trPr>
          <w:cantSplit/>
        </w:trPr>
        <w:tc>
          <w:tcPr>
            <w:vAlign w:val="center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2026-05</w:t>
            </w:r>
          </w:p>
        </w:tc>
        <w:tc>
          <w:tcPr>
            <w:vAlign w:val="center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58000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7.30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1.53</w:t>
            </w:r>
          </w:p>
        </w:tc>
        <w:tc>
          <w:tcPr>
            <w:vAlign w:val="center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2.38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11.21</w:t>
            </w:r>
          </w:p>
        </w:tc>
        <w:tc>
          <w:tcPr>
            <w:vAlign w:val="center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+2.84%</w:t>
            </w:r>
          </w:p>
        </w:tc>
      </w:tr>
    </w:tbl>
    <w:p>
      <w:bookmarkStart w:id="31012" w:name="YH_SEC_T10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4.2 成本异常点排查</w:t>
      </w:r>
      <w:bookmarkEnd w:id="31012"/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sz w:val="18"/>
        </w:rPr>
        <w:t>根因定位（程序计算的多维归因，非模型结论；解释力=该根因解释的总变动占比，DiD为对照厂反事实估计）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表4-2 根因定位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80"/>
        <w:gridCol w:w="2416"/>
        <w:gridCol w:w="1228"/>
        <w:gridCol w:w="643"/>
        <w:gridCol w:w="1784"/>
        <w:gridCol w:w="2414"/>
      </w:tblGrid>
      <w:tr>
        <w:trPr>
          <w:tblHeader/>
          <w:cantSplit/>
        </w:trPr>
        <w:tc>
          <w:tcPr>
            <w:vAlign w:val="center"/>
            <w:shd w:fill="D9D9D9"/>
            <w:tcW w:w="480" w:type="dxa"/>
          </w:tcPr>
          <w:p>
            <w:pPr>
              <w:jc w:val="center"/>
            </w:pPr>
            <w:bookmarkStart w:id="40003" w:name="YHU_TBL_3"/>
            <w:r>
              <w:rPr>
                <w:rFonts w:ascii="Times New Roman" w:hAnsi="Times New Roman" w:eastAsia="宋体" w:cs="Times New Roman"/>
                <w:b/>
                <w:sz w:val="18"/>
              </w:rPr>
              <w:t>排序</w:t>
            </w:r>
            <w:bookmarkEnd w:id="40003"/>
          </w:p>
        </w:tc>
        <w:tc>
          <w:tcPr>
            <w:vAlign w:val="center"/>
            <w:shd w:fill="D9D9D9"/>
            <w:tcW w:w="2416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根因集</w:t>
            </w:r>
          </w:p>
        </w:tc>
        <w:tc>
          <w:tcPr>
            <w:vAlign w:val="center"/>
            <w:shd w:fill="D9D9D9"/>
            <w:tcW w:w="122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解释力/估计</w:t>
            </w:r>
          </w:p>
        </w:tc>
        <w:tc>
          <w:tcPr>
            <w:vAlign w:val="center"/>
            <w:shd w:fill="D9D9D9"/>
            <w:tcW w:w="64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方向</w:t>
            </w:r>
          </w:p>
        </w:tc>
        <w:tc>
          <w:tcPr>
            <w:vAlign w:val="center"/>
            <w:shd w:fill="D9D9D9"/>
            <w:tcW w:w="178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可能性(评分)</w:t>
            </w:r>
          </w:p>
        </w:tc>
        <w:tc>
          <w:tcPr>
            <w:vAlign w:val="center"/>
            <w:shd w:fill="D9D9D9"/>
            <w:tcW w:w="241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vAlign w:val="center"/>
            <w:tcW w:w="241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原料：金银花</w:t>
            </w:r>
          </w:p>
        </w:tc>
        <w:tc>
          <w:tcPr>
            <w:vAlign w:val="center"/>
            <w:noWrap/>
            <w:tcW w:w="122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48.4%</w:t>
            </w:r>
          </w:p>
        </w:tc>
        <w:tc>
          <w:tcPr>
            <w:vAlign w:val="center"/>
            <w:tcW w:w="64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上升</w:t>
            </w:r>
          </w:p>
        </w:tc>
        <w:tc>
          <w:tcPr>
            <w:vAlign w:val="center"/>
            <w:tcW w:w="1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高（0.74）</w:t>
            </w:r>
          </w:p>
        </w:tc>
        <w:tc>
          <w:tcPr>
            <w:vAlign w:val="center"/>
            <w:tcW w:w="241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占同口径变动48.4%；存在行情同向信号；跨厂变化对照同向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vAlign w:val="center"/>
            <w:shd w:fill="F7F7F7"/>
            <w:tcW w:w="241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要素：直接材料</w:t>
            </w:r>
          </w:p>
        </w:tc>
        <w:tc>
          <w:tcPr>
            <w:vAlign w:val="center"/>
            <w:shd w:fill="F7F7F7"/>
            <w:noWrap/>
            <w:tcW w:w="122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71.0%</w:t>
            </w:r>
          </w:p>
        </w:tc>
        <w:tc>
          <w:tcPr>
            <w:vAlign w:val="center"/>
            <w:shd w:fill="F7F7F7"/>
            <w:tcW w:w="64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上升</w:t>
            </w:r>
          </w:p>
        </w:tc>
        <w:tc>
          <w:tcPr>
            <w:vAlign w:val="center"/>
            <w:shd w:fill="F7F7F7"/>
            <w:tcW w:w="1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中（0.60）</w:t>
            </w:r>
          </w:p>
        </w:tc>
        <w:tc>
          <w:tcPr>
            <w:vAlign w:val="center"/>
            <w:shd w:fill="F7F7F7"/>
            <w:tcW w:w="241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占同口径变动71.0%；跨厂变化对照同向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vAlign w:val="center"/>
            <w:tcW w:w="241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原料：黄芩提取物</w:t>
            </w:r>
          </w:p>
        </w:tc>
        <w:tc>
          <w:tcPr>
            <w:vAlign w:val="center"/>
            <w:noWrap/>
            <w:tcW w:w="122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16.1%</w:t>
            </w:r>
          </w:p>
        </w:tc>
        <w:tc>
          <w:tcPr>
            <w:vAlign w:val="center"/>
            <w:tcW w:w="64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上升</w:t>
            </w:r>
          </w:p>
        </w:tc>
        <w:tc>
          <w:tcPr>
            <w:vAlign w:val="center"/>
            <w:tcW w:w="1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中（0.56）</w:t>
            </w:r>
          </w:p>
        </w:tc>
        <w:tc>
          <w:tcPr>
            <w:vAlign w:val="center"/>
            <w:tcW w:w="241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占同口径变动16.1%；存在行情同向信号；跨厂变化对照同向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vAlign w:val="center"/>
            <w:shd w:fill="F7F7F7"/>
            <w:tcW w:w="241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要素：制造费用</w:t>
            </w:r>
          </w:p>
        </w:tc>
        <w:tc>
          <w:tcPr>
            <w:vAlign w:val="center"/>
            <w:shd w:fill="F7F7F7"/>
            <w:noWrap/>
            <w:tcW w:w="122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19.4%</w:t>
            </w:r>
          </w:p>
        </w:tc>
        <w:tc>
          <w:tcPr>
            <w:vAlign w:val="center"/>
            <w:shd w:fill="F7F7F7"/>
            <w:tcW w:w="64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上升</w:t>
            </w:r>
          </w:p>
        </w:tc>
        <w:tc>
          <w:tcPr>
            <w:vAlign w:val="center"/>
            <w:shd w:fill="F7F7F7"/>
            <w:tcW w:w="1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低（0.35）</w:t>
            </w:r>
          </w:p>
        </w:tc>
        <w:tc>
          <w:tcPr>
            <w:vAlign w:val="center"/>
            <w:shd w:fill="F7F7F7"/>
            <w:tcW w:w="241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占同口径变动19.4%；跨厂变化对照同向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vAlign w:val="center"/>
            <w:tcW w:w="241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要素：直接人工</w:t>
            </w:r>
          </w:p>
        </w:tc>
        <w:tc>
          <w:tcPr>
            <w:vAlign w:val="center"/>
            <w:noWrap/>
            <w:tcW w:w="122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9.7%</w:t>
            </w:r>
          </w:p>
        </w:tc>
        <w:tc>
          <w:tcPr>
            <w:vAlign w:val="center"/>
            <w:tcW w:w="64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上升</w:t>
            </w:r>
          </w:p>
        </w:tc>
        <w:tc>
          <w:tcPr>
            <w:vAlign w:val="center"/>
            <w:tcW w:w="1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低（0.30）</w:t>
            </w:r>
          </w:p>
        </w:tc>
        <w:tc>
          <w:tcPr>
            <w:vAlign w:val="center"/>
            <w:tcW w:w="241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占同口径变动9.7%；跨厂变化对照同向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附</w:t>
            </w:r>
          </w:p>
        </w:tc>
        <w:tc>
          <w:tcPr>
            <w:vAlign w:val="center"/>
            <w:shd w:fill="F7F7F7"/>
            <w:tcW w:w="241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对照厂反事实（DiD，中药二厂）</w:t>
            </w:r>
          </w:p>
        </w:tc>
        <w:tc>
          <w:tcPr>
            <w:vAlign w:val="center"/>
            <w:shd w:fill="F7F7F7"/>
            <w:noWrap/>
            <w:tcW w:w="122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0.0200 元/盒</w:t>
            </w:r>
          </w:p>
        </w:tc>
        <w:tc>
          <w:tcPr>
            <w:vAlign w:val="center"/>
            <w:shd w:fill="F7F7F7"/>
            <w:tcW w:w="64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—</w:t>
            </w:r>
          </w:p>
        </w:tc>
        <w:tc>
          <w:tcPr>
            <w:vAlign w:val="center"/>
            <w:shd w:fill="F7F7F7"/>
            <w:tcW w:w="1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平行趋势未验证</w:t>
            </w:r>
          </w:p>
        </w:tc>
        <w:tc>
          <w:tcPr>
            <w:vAlign w:val="center"/>
            <w:shd w:fill="F7F7F7"/>
            <w:tcW w:w="241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安慰剂τ=0.0000；估计值，本月相对前三个月均值的本厂变化减去对照厂变化；历史差异阈值仅是描述性检查，不能证明平行趋势。未指定独立干预事件，不能解释为因果效应。</w:t>
            </w:r>
          </w:p>
        </w:tc>
      </w:tr>
    </w:tbl>
    <w:p>
      <w:bookmarkStart w:id="10311" w:name="YH_c282ade0_311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本期产量 58000 盒，总成本 650180.00 元。 相对预算总成本差额 120180.00 元，其中产量影响 84800.00 元，单位成本影响 35380.00 元；不能全部归为效率恶化。</w:t>
        <w:br/>
        <w:t xml:space="preserve">本期三要素没有超过既定阈值的告警；仍应核对主要变动项。</w:t>
        <w:br/>
        <w:t xml:space="preserve">归因方向评估（按可能性排序；以下均为待证实假设，供业务判断）：</w:t>
        <w:br/>
        <w:t xml:space="preserve">1. 材料价格传导：金银花市场价由上期 130.0 变为 138.0 元/kg（亳州中药材市场），与材料单位成本变动方向一致，价格传导可能性较高。证实或证伪：核对采购合同单价与市场价的偏离、以及批次库存结构。</w:t>
        <w:br/>
        <w:t xml:space="preserve">2. 单位耗用变化：投料单耗或提取收率变化会直接改变每盒材料成本，与价格因素叠加。证实或证伪：同批次投料记录与合格产出对照上期，计算单耗变动。</w:t>
        <w:br/>
        <w:t xml:space="preserve">3. 产量分摊：产量环比上升 3000.00 盒，折旧、间接人工等偏固定费用按产量分摊时，单位成本会随产量下降。证实或证伪：核对制造费用分配表使用的产量基数是否与实际产量一致。</w:t>
      </w:r>
      <w:bookmarkEnd w:id="10311"/>
    </w:p>
    <w:p>
      <w:bookmarkStart w:id="31013" w:name="YH_SEC_T11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4.3 关键原材料市场价格跟踪</w:t>
      </w:r>
      <w:bookmarkEnd w:id="31013"/>
    </w:p>
    <w:p>
      <w:bookmarkStart w:id="10313" w:name="YH_c282ade0_313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13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表4-3 原材料价格跟踪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1227"/>
        <w:gridCol w:w="1287"/>
        <w:gridCol w:w="1287"/>
        <w:gridCol w:w="701"/>
        <w:gridCol w:w="2232"/>
        <w:gridCol w:w="2230"/>
      </w:tblGrid>
      <w:tr>
        <w:trPr>
          <w:tblHeader/>
          <w:cantSplit/>
        </w:trPr>
        <w:tc>
          <w:tcPr>
            <w:vAlign w:val="center"/>
            <w:shd w:fill="D9D9D9"/>
            <w:tcW w:w="1227" w:type="dxa"/>
          </w:tcPr>
          <w:p>
            <w:pPr>
              <w:jc w:val="center"/>
            </w:pPr>
            <w:bookmarkStart w:id="40002" w:name="YHU_TBL_2"/>
            <w:r>
              <w:rPr>
                <w:rFonts w:ascii="Times New Roman" w:hAnsi="Times New Roman" w:eastAsia="宋体" w:cs="Times New Roman"/>
                <w:b/>
                <w:sz w:val="18"/>
              </w:rPr>
              <w:t>原材料</w:t>
            </w:r>
            <w:bookmarkEnd w:id="40002"/>
          </w:p>
        </w:tc>
        <w:tc>
          <w:tcPr>
            <w:vAlign w:val="center"/>
            <w:shd w:fill="D9D9D9"/>
            <w:tcW w:w="128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年初价(元/kg)</w:t>
            </w:r>
          </w:p>
        </w:tc>
        <w:tc>
          <w:tcPr>
            <w:vAlign w:val="center"/>
            <w:shd w:fill="D9D9D9"/>
            <w:tcW w:w="128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本月价(元/kg)</w:t>
            </w:r>
          </w:p>
        </w:tc>
        <w:tc>
          <w:tcPr>
            <w:vAlign w:val="center"/>
            <w:shd w:fill="D9D9D9"/>
            <w:tcW w:w="70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涨幅</w:t>
            </w:r>
          </w:p>
        </w:tc>
        <w:tc>
          <w:tcPr>
            <w:vAlign w:val="center"/>
            <w:shd w:fill="D9D9D9"/>
            <w:tcW w:w="223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市场趋势</w:t>
            </w:r>
          </w:p>
        </w:tc>
        <w:tc>
          <w:tcPr>
            <w:vAlign w:val="center"/>
            <w:shd w:fill="D9D9D9"/>
            <w:tcW w:w="223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对材料成本影响</w:t>
            </w:r>
          </w:p>
        </w:tc>
      </w:tr>
      <w:tr>
        <w:trPr>
          <w:cantSplit/>
        </w:trPr>
        <w:tc>
          <w:tcPr>
            <w:vAlign w:val="center"/>
            <w:tcW w:w="122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金银花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125.0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138.0</w:t>
            </w:r>
          </w:p>
        </w:tc>
        <w:tc>
          <w:tcPr>
            <w:vAlign w:val="center"/>
            <w:noWrap/>
            <w:tcW w:w="7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+10.4%</w:t>
            </w:r>
          </w:p>
        </w:tc>
        <w:tc>
          <w:tcPr>
            <w:vAlign w:val="center"/>
            <w:tcW w:w="223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↑ 受产地减产影响，4月起持续上涨</w:t>
            </w:r>
          </w:p>
        </w:tc>
        <w:tc>
          <w:tcPr>
            <w:vAlign w:val="center"/>
            <w:tcW w:w="22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22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黄芩提取物</w:t>
            </w:r>
          </w:p>
        </w:tc>
        <w:tc>
          <w:tcPr>
            <w:vAlign w:val="center"/>
            <w:shd w:fill="F7F7F7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45.0</w:t>
            </w:r>
          </w:p>
        </w:tc>
        <w:tc>
          <w:tcPr>
            <w:vAlign w:val="center"/>
            <w:shd w:fill="F7F7F7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47.0</w:t>
            </w:r>
          </w:p>
        </w:tc>
        <w:tc>
          <w:tcPr>
            <w:vAlign w:val="center"/>
            <w:shd w:fill="F7F7F7"/>
            <w:noWrap/>
            <w:tcW w:w="7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+4.4%</w:t>
            </w:r>
          </w:p>
        </w:tc>
        <w:tc>
          <w:tcPr>
            <w:vAlign w:val="center"/>
            <w:shd w:fill="F7F7F7"/>
            <w:tcW w:w="223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→ 基本平稳，小幅波动</w:t>
            </w:r>
          </w:p>
        </w:tc>
        <w:tc>
          <w:tcPr>
            <w:vAlign w:val="center"/>
            <w:shd w:fill="F7F7F7"/>
            <w:tcW w:w="22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  <w:tr>
        <w:trPr>
          <w:cantSplit/>
        </w:trPr>
        <w:tc>
          <w:tcPr>
            <w:vAlign w:val="center"/>
            <w:tcW w:w="122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蔗糖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6.8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7.0</w:t>
            </w:r>
          </w:p>
        </w:tc>
        <w:tc>
          <w:tcPr>
            <w:vAlign w:val="center"/>
            <w:noWrap/>
            <w:tcW w:w="7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+2.9%</w:t>
            </w:r>
          </w:p>
        </w:tc>
        <w:tc>
          <w:tcPr>
            <w:vAlign w:val="center"/>
            <w:tcW w:w="223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→ 国际糖价传导，小幅波动</w:t>
            </w:r>
          </w:p>
        </w:tc>
        <w:tc>
          <w:tcPr>
            <w:vAlign w:val="center"/>
            <w:tcW w:w="22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22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苯甲酸钠</w:t>
            </w:r>
          </w:p>
        </w:tc>
        <w:tc>
          <w:tcPr>
            <w:vAlign w:val="center"/>
            <w:shd w:fill="F7F7F7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22.0</w:t>
            </w:r>
          </w:p>
        </w:tc>
        <w:tc>
          <w:tcPr>
            <w:vAlign w:val="center"/>
            <w:shd w:fill="F7F7F7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23.0</w:t>
            </w:r>
          </w:p>
        </w:tc>
        <w:tc>
          <w:tcPr>
            <w:vAlign w:val="center"/>
            <w:shd w:fill="F7F7F7"/>
            <w:noWrap/>
            <w:tcW w:w="7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+4.5%</w:t>
            </w:r>
          </w:p>
        </w:tc>
        <w:tc>
          <w:tcPr>
            <w:vAlign w:val="center"/>
            <w:shd w:fill="F7F7F7"/>
            <w:tcW w:w="223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→ 小幅波动</w:t>
            </w:r>
          </w:p>
        </w:tc>
        <w:tc>
          <w:tcPr>
            <w:vAlign w:val="center"/>
            <w:shd w:fill="F7F7F7"/>
            <w:tcW w:w="22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</w:tbl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400000" cy="25027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02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图4-2 原料单位耗用成本变动排行（前6，涨红跌绿）</w:t>
      </w:r>
    </w:p>
    <w:p>
      <w:bookmarkStart w:id="31014" w:name="YH_SEC_T12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五、对标分析（与中药二厂）</w:t>
      </w:r>
      <w:bookmarkEnd w:id="31014"/>
    </w:p>
    <w:p>
      <w:bookmarkStart w:id="31015" w:name="YH_SEC_T13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5.1 差异总览</w:t>
      </w:r>
      <w:bookmarkEnd w:id="31015"/>
    </w:p>
    <w:p>
      <w:bookmarkStart w:id="10316" w:name="YH_c282ade0_316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16"/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16808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680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图5-1 跨厂三要素（中药一厂−中药二厂，以中药二厂为分母）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表5-1 对标差异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336"/>
        <w:gridCol w:w="860"/>
        <w:gridCol w:w="860"/>
        <w:gridCol w:w="860"/>
        <w:gridCol w:w="734"/>
        <w:gridCol w:w="3315"/>
      </w:tblGrid>
      <w:tr>
        <w:trPr>
          <w:tblHeader/>
          <w:cantSplit/>
        </w:trPr>
        <w:tc>
          <w:tcPr>
            <w:vAlign w:val="center"/>
            <w:shd w:fill="D9D9D9"/>
            <w:tcW w:w="2336" w:type="dxa"/>
          </w:tcPr>
          <w:p>
            <w:pPr>
              <w:jc w:val="center"/>
            </w:pPr>
            <w:bookmarkStart w:id="40004" w:name="YHU_TBL_4"/>
            <w:r>
              <w:rPr>
                <w:rFonts w:ascii="Times New Roman" w:hAnsi="Times New Roman" w:eastAsia="宋体" w:cs="Times New Roman"/>
                <w:b/>
                <w:sz w:val="18"/>
              </w:rPr>
              <w:t>对比维度</w:t>
            </w:r>
            <w:bookmarkEnd w:id="40004"/>
          </w:p>
        </w:tc>
        <w:tc>
          <w:tcPr>
            <w:vAlign w:val="center"/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中药一厂</w:t>
            </w:r>
          </w:p>
        </w:tc>
        <w:tc>
          <w:tcPr>
            <w:vAlign w:val="center"/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中药二厂</w:t>
            </w:r>
          </w:p>
        </w:tc>
        <w:tc>
          <w:tcPr>
            <w:vAlign w:val="center"/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差异金额</w:t>
            </w:r>
          </w:p>
        </w:tc>
        <w:tc>
          <w:tcPr>
            <w:vAlign w:val="center"/>
            <w:shd w:fill="D9D9D9"/>
            <w:tcW w:w="7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差异率</w:t>
            </w:r>
          </w:p>
        </w:tc>
        <w:tc>
          <w:tcPr>
            <w:vAlign w:val="center"/>
            <w:shd w:fill="D9D9D9"/>
            <w:tcW w:w="331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方向</w:t>
            </w:r>
          </w:p>
        </w:tc>
      </w:tr>
      <w:tr>
        <w:trPr>
          <w:cantSplit/>
        </w:trPr>
        <w:tc>
          <w:tcPr>
            <w:vAlign w:val="center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单位成本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11.21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11.60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-0.39</w:t>
            </w:r>
          </w:p>
        </w:tc>
        <w:tc>
          <w:tcPr>
            <w:vAlign w:val="center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8"/>
              </w:rPr>
              <w:t>-3.36</w:t>
            </w:r>
          </w:p>
        </w:tc>
        <w:tc>
          <w:tcPr>
            <w:vAlign w:val="center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中药二厂较高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直接材料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7.30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7.29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0.01</w:t>
            </w:r>
          </w:p>
        </w:tc>
        <w:tc>
          <w:tcPr>
            <w:vAlign w:val="center"/>
            <w:shd w:fill="F7F7F7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0.14</w:t>
            </w:r>
          </w:p>
        </w:tc>
        <w:tc>
          <w:tcPr>
            <w:vAlign w:val="center"/>
            <w:shd w:fill="F7F7F7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中药一厂较高</w:t>
            </w:r>
          </w:p>
        </w:tc>
      </w:tr>
      <w:tr>
        <w:trPr>
          <w:cantSplit/>
        </w:trPr>
        <w:tc>
          <w:tcPr>
            <w:vAlign w:val="center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直接人工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1.53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1.73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-0.20</w:t>
            </w:r>
          </w:p>
        </w:tc>
        <w:tc>
          <w:tcPr>
            <w:vAlign w:val="center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8"/>
              </w:rPr>
              <w:t>-11.56</w:t>
            </w:r>
          </w:p>
        </w:tc>
        <w:tc>
          <w:tcPr>
            <w:vAlign w:val="center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中药二厂较高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制造费用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2.38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2.58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-0.20</w:t>
            </w:r>
          </w:p>
        </w:tc>
        <w:tc>
          <w:tcPr>
            <w:vAlign w:val="center"/>
            <w:shd w:fill="F7F7F7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8"/>
              </w:rPr>
              <w:t>-7.75</w:t>
            </w:r>
          </w:p>
        </w:tc>
        <w:tc>
          <w:tcPr>
            <w:vAlign w:val="center"/>
            <w:shd w:fill="F7F7F7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中药二厂较高</w:t>
            </w:r>
          </w:p>
        </w:tc>
      </w:tr>
    </w:tbl>
    <w:p>
      <w:bookmarkStart w:id="31016" w:name="YH_SEC_T14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5.2 差异结构拆解</w:t>
      </w:r>
      <w:bookmarkEnd w:id="31016"/>
    </w:p>
    <w:p>
      <w:bookmarkStart w:id="10318" w:name="YH_c282ade0_318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中药一厂−中药二厂，以中药二厂为分母。直接材料差额 0.01 元/盒，占跨厂单位成本总差额 -2.56%；直接人工差额 -0.20 元/盒，占跨厂单位成本总差额 51.28%；制造费用差额 -0.20 元/盒，占跨厂单位成本总差额 51.28%。</w:t>
      </w:r>
      <w:bookmarkEnd w:id="10318"/>
    </w:p>
    <w:p>
      <w:bookmarkStart w:id="31017" w:name="YH_SEC_T15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5.3 差异归因分析</w:t>
      </w:r>
      <w:bookmarkEnd w:id="31017"/>
    </w:p>
    <w:p>
      <w:bookmarkStart w:id="10320" w:name="YH_c282ade0_320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三要素差额用于定位核查重点。请两厂成本会计核对同规格的领料、工时与费用分摊记录。</w:t>
      </w:r>
      <w:bookmarkEnd w:id="10320"/>
    </w:p>
    <w:p>
      <w:bookmarkStart w:id="31018" w:name="YH_SEC_T16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六、总结与建议</w:t>
      </w:r>
      <w:bookmarkEnd w:id="31018"/>
    </w:p>
    <w:p>
      <w:bookmarkStart w:id="31019" w:name="YH_SEC_T17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6.1 本月成本管理亮点</w:t>
      </w:r>
      <w:bookmarkEnd w:id="31019"/>
    </w:p>
    <w:p>
      <w:bookmarkStart w:id="10323" w:name="YH_c282ade0_323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本期单位成本 11.21 元/盒，产量 58000 盒；本期无显著优于基期或行业中位的确定性亮点。</w:t>
      </w:r>
      <w:bookmarkEnd w:id="10323"/>
    </w:p>
    <w:p>
      <w:bookmarkStart w:id="31020" w:name="YH_SEC_T18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6.2 需关注的问题</w:t>
      </w:r>
      <w:bookmarkEnd w:id="31020"/>
    </w:p>
    <w:p>
      <w:bookmarkStart w:id="10325" w:name="YH_c282ade0_325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原料成本变化不能直接等同采购价变化。平均小时工资为题包折算口径，不能据此认定基础薪率上调。跨厂原料差异需核对两厂明细：缺失的工厂原料明细仍须补充，汇总差异不能替代真实下钻。</w:t>
      </w:r>
      <w:bookmarkEnd w:id="10325"/>
    </w:p>
    <w:p>
      <w:bookmarkStart w:id="31021" w:name="YH_SEC_T19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6.3 改进建议</w:t>
      </w:r>
      <w:bookmarkEnd w:id="31021"/>
    </w:p>
    <w:p>
      <w:bookmarkStart w:id="10327" w:name="YH_c282ade0_327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27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表6-1 改进建议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80"/>
        <w:gridCol w:w="1948"/>
        <w:gridCol w:w="1945"/>
        <w:gridCol w:w="702"/>
        <w:gridCol w:w="1945"/>
        <w:gridCol w:w="1945"/>
      </w:tblGrid>
      <w:tr>
        <w:trPr>
          <w:tblHeader/>
          <w:cantSplit/>
        </w:trPr>
        <w:tc>
          <w:tcPr>
            <w:vAlign w:val="center"/>
            <w:shd w:fill="D9D9D9"/>
            <w:tcW w:w="480" w:type="dxa"/>
          </w:tcPr>
          <w:p>
            <w:pPr>
              <w:jc w:val="center"/>
            </w:pPr>
            <w:bookmarkStart w:id="40005" w:name="YHU_TBL_5"/>
            <w:r>
              <w:rPr>
                <w:rFonts w:ascii="Times New Roman" w:hAnsi="Times New Roman" w:eastAsia="宋体" w:cs="Times New Roman"/>
                <w:b/>
                <w:sz w:val="18"/>
              </w:rPr>
              <w:t>序号</w:t>
            </w:r>
            <w:bookmarkEnd w:id="40005"/>
          </w:p>
        </w:tc>
        <w:tc>
          <w:tcPr>
            <w:vAlign w:val="center"/>
            <w:shd w:fill="D9D9D9"/>
            <w:tcW w:w="194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建议事项</w:t>
            </w:r>
          </w:p>
        </w:tc>
        <w:tc>
          <w:tcPr>
            <w:vAlign w:val="center"/>
            <w:shd w:fill="D9D9D9"/>
            <w:tcW w:w="194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责任部门</w:t>
            </w:r>
          </w:p>
        </w:tc>
        <w:tc>
          <w:tcPr>
            <w:vAlign w:val="center"/>
            <w:shd w:fill="D9D9D9"/>
            <w:tcW w:w="70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优先级</w:t>
            </w:r>
          </w:p>
        </w:tc>
        <w:tc>
          <w:tcPr>
            <w:vAlign w:val="center"/>
            <w:shd w:fill="D9D9D9"/>
            <w:tcW w:w="194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预期效果</w:t>
            </w:r>
          </w:p>
        </w:tc>
        <w:tc>
          <w:tcPr>
            <w:vAlign w:val="center"/>
            <w:shd w:fill="D9D9D9"/>
            <w:tcW w:w="194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建议完成时间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vAlign w:val="center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按同批次核对采购价、投料与合格产出，分别检查采购变化和生产损耗；工艺调整须经质量部门批准。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采购部、生产部、财务部</w:t>
            </w:r>
          </w:p>
        </w:tc>
        <w:tc>
          <w:tcPr>
            <w:vAlign w:val="center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高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实际采购合同及入库单价、批次投料、合格产出与收率记录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vAlign w:val="center"/>
            <w:shd w:fill="F7F7F7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核对人员结构、加班及返工工时，区分每盒工时变化与人工费用结构变化。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生产部、人力资源部、财务部</w:t>
            </w:r>
          </w:p>
        </w:tc>
        <w:tc>
          <w:tcPr>
            <w:vAlign w:val="center"/>
            <w:shd w:fill="F7F7F7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中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班次及加班记录、工资组成与工时台账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vAlign w:val="center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逐项核对费用总额、分配基数和产量影响，仅将本期适用工单用于原因核查，避免重复计入维修费。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设备部、财务部、生产部</w:t>
            </w:r>
          </w:p>
        </w:tc>
        <w:tc>
          <w:tcPr>
            <w:vAlign w:val="center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中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费用分配表及分配基数、本期维修工单与入账凭证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vAlign w:val="center"/>
            <w:shd w:fill="F7F7F7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先核对两厂成本归集口径，再按材料、人工和制造费用差额检查主要项目；缺少二厂原料明细时保留缺项。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两厂财务部、生产部</w:t>
            </w:r>
          </w:p>
        </w:tc>
        <w:tc>
          <w:tcPr>
            <w:vAlign w:val="center"/>
            <w:shd w:fill="F7F7F7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高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两厂原料明细、两厂工时和费用分配表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</w:tbl>
    <w:p>
      <w:bookmarkStart w:id="31022" w:name="YH_SEC_T20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6.4 整改任务清单（自动生成）</w:t>
      </w:r>
      <w:bookmarkEnd w:id="31022"/>
    </w:p>
    <w:p>
      <w:bookmarkStart w:id="10329" w:name="YH_c282ade0_329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29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表6-2 整改任务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1467"/>
        <w:gridCol w:w="2153"/>
        <w:gridCol w:w="811"/>
        <w:gridCol w:w="811"/>
        <w:gridCol w:w="1574"/>
        <w:gridCol w:w="2149"/>
      </w:tblGrid>
      <w:tr>
        <w:trPr>
          <w:tblHeader/>
          <w:cantSplit/>
        </w:trPr>
        <w:tc>
          <w:tcPr>
            <w:vAlign w:val="center"/>
            <w:shd w:fill="D9D9D9"/>
            <w:tcW w:w="1467" w:type="dxa"/>
          </w:tcPr>
          <w:p>
            <w:pPr>
              <w:jc w:val="center"/>
            </w:pPr>
            <w:bookmarkStart w:id="40006" w:name="YHU_TBL_6"/>
            <w:r>
              <w:rPr>
                <w:rFonts w:ascii="Times New Roman" w:hAnsi="Times New Roman" w:eastAsia="宋体" w:cs="Times New Roman"/>
                <w:b/>
                <w:sz w:val="18"/>
              </w:rPr>
              <w:t>任务编号</w:t>
            </w:r>
            <w:bookmarkEnd w:id="40006"/>
          </w:p>
        </w:tc>
        <w:tc>
          <w:tcPr>
            <w:vAlign w:val="center"/>
            <w:shd w:fill="D9D9D9"/>
            <w:tcW w:w="215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任务标题</w:t>
            </w:r>
          </w:p>
        </w:tc>
        <w:tc>
          <w:tcPr>
            <w:vAlign w:val="center"/>
            <w:shd w:fill="D9D9D9"/>
            <w:tcW w:w="81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责任人</w:t>
            </w:r>
          </w:p>
        </w:tc>
        <w:tc>
          <w:tcPr>
            <w:vAlign w:val="center"/>
            <w:shd w:fill="D9D9D9"/>
            <w:tcW w:w="81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优先级</w:t>
            </w:r>
          </w:p>
        </w:tc>
        <w:tc>
          <w:tcPr>
            <w:vAlign w:val="center"/>
            <w:shd w:fill="D9D9D9"/>
            <w:tcW w:w="157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来源</w:t>
            </w:r>
          </w:p>
        </w:tc>
        <w:tc>
          <w:tcPr>
            <w:vAlign w:val="center"/>
            <w:shd w:fill="D9D9D9"/>
            <w:tcW w:w="2149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截止时间</w:t>
            </w:r>
          </w:p>
        </w:tc>
      </w:tr>
      <w:tr>
        <w:trPr>
          <w:cantSplit/>
        </w:trPr>
        <w:tc>
          <w:tcPr>
            <w:vAlign w:val="center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YH-b4f3ff91</w:t>
            </w:r>
          </w:p>
        </w:tc>
        <w:tc>
          <w:tcPr>
            <w:vAlign w:val="center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金银花本期与上期采购和批次耗用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高</w:t>
            </w:r>
          </w:p>
        </w:tc>
        <w:tc>
          <w:tcPr>
            <w:vAlign w:val="center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本报告1号建议</w:t>
            </w:r>
          </w:p>
        </w:tc>
        <w:tc>
          <w:tcPr>
            <w:vAlign w:val="center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YH-ff25f03b</w:t>
            </w:r>
          </w:p>
        </w:tc>
        <w:tc>
          <w:tcPr>
            <w:vAlign w:val="center"/>
            <w:shd w:fill="F7F7F7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本期与上期工时、工资组成和合格产量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</w:t>
            </w:r>
          </w:p>
        </w:tc>
        <w:tc>
          <w:tcPr>
            <w:vAlign w:val="center"/>
            <w:shd w:fill="F7F7F7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本报告2号建议</w:t>
            </w:r>
          </w:p>
        </w:tc>
        <w:tc>
          <w:tcPr>
            <w:vAlign w:val="center"/>
            <w:shd w:fill="F7F7F7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  <w:tr>
        <w:trPr>
          <w:cantSplit/>
        </w:trPr>
        <w:tc>
          <w:tcPr>
            <w:vAlign w:val="center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YH-6232f6a7</w:t>
            </w:r>
          </w:p>
        </w:tc>
        <w:tc>
          <w:tcPr>
            <w:vAlign w:val="center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本期费用分配、维修入账与设备运行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</w:t>
            </w:r>
          </w:p>
        </w:tc>
        <w:tc>
          <w:tcPr>
            <w:vAlign w:val="center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本报告3号建议</w:t>
            </w:r>
          </w:p>
        </w:tc>
        <w:tc>
          <w:tcPr>
            <w:vAlign w:val="center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YH-260242c6</w:t>
            </w:r>
          </w:p>
        </w:tc>
        <w:tc>
          <w:tcPr>
            <w:vAlign w:val="center"/>
            <w:shd w:fill="F7F7F7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两厂同规格产品成本归集、工时及费用分配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高</w:t>
            </w:r>
          </w:p>
        </w:tc>
        <w:tc>
          <w:tcPr>
            <w:vAlign w:val="center"/>
            <w:shd w:fill="F7F7F7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本报告4号建议</w:t>
            </w:r>
          </w:p>
        </w:tc>
        <w:tc>
          <w:tcPr>
            <w:vAlign w:val="center"/>
            <w:shd w:fill="F7F7F7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</w:tbl>
    <w:p>
      <w:pPr>
        <w:pStyle w:val="3"/>
      </w:pPr>
      <w:r>
        <w:rPr>
          <w:rFonts w:ascii="Times New Roman" w:hAnsi="Times New Roman" w:eastAsia="黑体" w:cs="Times New Roman"/>
        </w:rPr>
        <w:t>七、编制说明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本报告由成本智能分析系统自动生成，数值来自已接入的成本数据。分析文本采用程序规则生成的基础分析，本次未形成通过校验的完整模型解释；原因假设与建议仍需财务及业务人员复核。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数据说明：本报告使用比赛模拟数据。事实、原因假设与缺失证据分别标注；整改任务确认后仅模拟发送。</w:t>
      </w:r>
    </w:p>
    <w:p>
      <w:pPr>
        <w:pStyle w:val="3"/>
      </w:pPr>
      <w:r>
        <w:rPr>
          <w:rFonts w:ascii="Times New Roman" w:hAnsi="Times New Roman" w:eastAsia="黑体" w:cs="Times New Roman"/>
        </w:rPr>
        <w:t>八、知识库引用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产品配方：产品配方文档_银黄口服液.pdf（第1页）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工艺路线：生产工艺文档_中药一厂.pdf（第1页）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GMP要求：GMP法规核心摘要_2010修订版.pdf（第3页）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行业基准：行业成本基准数据_2026（题包02_行业参考数据）（本期未检索到适用段落，待核）</w:t>
      </w:r>
    </w:p>
    <w:p>
      <w:pPr>
        <w:pStyle w:val="3"/>
      </w:pPr>
      <w:r>
        <w:rPr>
          <w:rFonts w:ascii="Times New Roman" w:hAnsi="Times New Roman" w:eastAsia="黑体" w:cs="Times New Roman"/>
        </w:rPr>
        <w:t>九、来源与审核说明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数据来源：成本汇总表、原材料明细表、人工与制造费用表 · 银黄口服液 · 中药一厂 · 2026-05。金额以元、单位成本以元/盒计；季度按产量加权。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正文引用的证据来源（位置可回溯）：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生产工艺文档_中药一厂.pdf · 二、银黄口服液 生产工艺路线 · 第2页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本期检索到但未被正文直接引用的证据（候选依据 7 条）：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生产工艺文档_中药一厂.pdf · 二、银黄口服液 生产工艺路线 · 第1页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产品配方文档_银黄口服液.pdf · 二、处方组成 · 第1页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产品配方文档_银黄口服液.pdf · 二、处方组成 · 第2页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产品配方文档_银黄口服液.pdf · 四、历史变更记录 · 第2页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历史成本异常处理记录_中药一厂_企业内部知识.txt · 二、2025-11 口服液灌封一体机伺服电机故障事件 · 行13-24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GMP法规核心摘要_2010修订版.pdf · 相关章节 · 第3页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GMP法规核心摘要_2010修订版.pdf · 相关章节 · 第6页</w:t>
      </w:r>
    </w:p>
    <w:p>
      <w:pPr>
        <w:pStyle w:val="3"/>
      </w:pPr>
      <w:r>
        <w:rPr>
          <w:rFonts w:ascii="Times New Roman" w:hAnsi="Times New Roman" w:eastAsia="黑体" w:cs="Times New Roman"/>
        </w:rPr>
        <w:t>十、人工归因评分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以下评分由真人评审填写（系统与模型不代填），0—5 分，5 为最好。引用只说明依据来源，不等于已证实因果。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表10-1 人工归因评分表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095"/>
        <w:gridCol w:w="1988"/>
        <w:gridCol w:w="2405"/>
        <w:gridCol w:w="1477"/>
      </w:tblGrid>
      <w:tr>
        <w:trPr>
          <w:tblHeader/>
          <w:cantSplit/>
        </w:trPr>
        <w:tc>
          <w:tcPr>
            <w:shd w:fill="D9D9D9"/>
            <w:tcW w:w="3095" w:type="dxa"/>
          </w:tcPr>
          <w:p>
            <w:pPr>
              <w:jc w:val="center"/>
            </w:pPr>
            <w:bookmarkStart w:id="41007" w:name="YHU_TBL_7"/>
            <w:r>
              <w:rPr>
                <w:rFonts w:ascii="Times New Roman" w:hAnsi="Times New Roman" w:eastAsia="宋体" w:cs="Times New Roman"/>
                <w:b/>
                <w:sz w:val="18"/>
              </w:rPr>
              <w:t>评审维度</w:t>
            </w:r>
            <w:bookmarkEnd w:id="41007"/>
          </w:p>
        </w:tc>
        <w:tc>
          <w:tcPr>
            <w:shd w:fill="D9D9D9"/>
            <w:tcW w:w="198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评分（0—5）</w:t>
            </w:r>
          </w:p>
        </w:tc>
        <w:tc>
          <w:tcPr>
            <w:shd w:fill="D9D9D9"/>
            <w:tcW w:w="240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评审人（署名）</w:t>
            </w:r>
          </w:p>
        </w:tc>
        <w:tc>
          <w:tcPr>
            <w:shd w:fill="D9D9D9"/>
            <w:tcW w:w="147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评审说明</w:t>
            </w:r>
          </w:p>
        </w:tc>
      </w:tr>
      <w:tr>
        <w:trPr>
          <w:cantSplit/>
        </w:trPr>
        <w:tc>
          <w:tcPr>
            <w:tcW w:w="3095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归因准确性与证据支撑</w:t>
            </w:r>
          </w:p>
        </w:tc>
        <w:tc>
          <w:tcPr>
            <w:tcW w:w="1988" w:type="dxa"/>
          </w:tcPr>
          <w:p/>
        </w:tc>
        <w:tc>
          <w:tcPr>
            <w:tcW w:w="2405" w:type="dxa"/>
          </w:tcPr>
          <w:p/>
        </w:tc>
        <w:tc>
          <w:tcPr>
            <w:tcW w:w="1477" w:type="dxa"/>
          </w:tcPr>
          <w:p/>
        </w:tc>
      </w:tr>
      <w:tr>
        <w:trPr>
          <w:cantSplit/>
        </w:trPr>
        <w:tc>
          <w:tcPr>
            <w:shd w:fill="F7F7F7"/>
            <w:tcW w:w="3095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内容可读性与结构完整性</w:t>
            </w:r>
          </w:p>
        </w:tc>
        <w:tc>
          <w:tcPr>
            <w:shd w:fill="F7F7F7"/>
            <w:tcW w:w="1988" w:type="dxa"/>
          </w:tcPr>
          <w:p/>
        </w:tc>
        <w:tc>
          <w:tcPr>
            <w:shd w:fill="F7F7F7"/>
            <w:tcW w:w="2405" w:type="dxa"/>
          </w:tcPr>
          <w:p/>
        </w:tc>
        <w:tc>
          <w:tcPr>
            <w:shd w:fill="F7F7F7"/>
            <w:tcW w:w="1477" w:type="dxa"/>
          </w:tcPr>
          <w:p/>
        </w:tc>
      </w:tr>
      <w:tr>
        <w:trPr>
          <w:cantSplit/>
        </w:trPr>
        <w:tc>
          <w:tcPr>
            <w:tcW w:w="3095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逐页版式与图表质量</w:t>
            </w:r>
          </w:p>
        </w:tc>
        <w:tc>
          <w:tcPr>
            <w:tcW w:w="1988" w:type="dxa"/>
          </w:tcPr>
          <w:p/>
        </w:tc>
        <w:tc>
          <w:tcPr>
            <w:tcW w:w="2405" w:type="dxa"/>
          </w:tcPr>
          <w:p/>
        </w:tc>
        <w:tc>
          <w:tcPr>
            <w:tcW w:w="1477" w:type="dxa"/>
          </w:tcPr>
          <w:p/>
        </w:tc>
      </w:tr>
      <w:tr>
        <w:trPr>
          <w:cantSplit/>
        </w:trPr>
        <w:tc>
          <w:tcPr>
            <w:shd w:fill="F7F7F7"/>
            <w:tcW w:w="3095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总体评价</w:t>
            </w:r>
          </w:p>
        </w:tc>
        <w:tc>
          <w:tcPr>
            <w:shd w:fill="F7F7F7"/>
            <w:tcW w:w="1988" w:type="dxa"/>
          </w:tcPr>
          <w:p/>
        </w:tc>
        <w:tc>
          <w:tcPr>
            <w:shd w:fill="F7F7F7"/>
            <w:tcW w:w="2405" w:type="dxa"/>
          </w:tcPr>
          <w:p/>
        </w:tc>
        <w:tc>
          <w:tcPr>
            <w:shd w:fill="F7F7F7"/>
            <w:tcW w:w="1477" w:type="dxa"/>
          </w:tcPr>
          <w:p/>
        </w:tc>
      </w:tr>
    </w:tbl>
    <w:sectPr>
      <w:headerReference r:id="rId8" w:type="default"/>
      <w:footerReference r:id="rId10" w:type="default"/>
      <w:pgSz w:w="11905" w:h="1684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F4425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CFB4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F0F5B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Noto Sans SC" w:hAnsi="Noto Sans SC"/>
        <w:sz w:val="18"/>
      </w:rPr>
      <w:t>第</w:t>
    </w:r>
    <w:fldSimple w:instr="PAGE">
      <w:r>
        <w:t>1</w:t>
      </w:r>
    </w:fldSimple>
    <w:r>
      <w:rPr>
        <w:rFonts w:ascii="Noto Sans SC" w:hAnsi="Noto Sans SC"/>
        <w:sz w:val="18"/>
      </w:rPr>
      <w:t>页共</w:t>
    </w:r>
    <w:fldSimple w:instr="NUMPAGES">
      <w:r>
        <w:t>1</w:t>
      </w:r>
    </w:fldSimple>
    <w:r>
      <w:rPr>
        <w:rFonts w:ascii="Noto Sans SC" w:hAnsi="Noto Sans SC"/>
        <w:sz w:val="18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CC27BD">
    <w:pPr>
      <w:pStyle w:val="7"/>
      <w:pBdr>
        <w:bottom w:val="thickThinSmallGap" w:color="622423" w:sz="24" w:space="1"/>
      </w:pBdr>
      <w:tabs>
        <w:tab w:val="center" w:pos="4156"/>
        <w:tab w:val="right" w:pos="8312"/>
        <w:tab w:val="clear" w:pos="4153"/>
        <w:tab w:val="clear" w:pos="8306"/>
      </w:tabs>
      <w:jc w:val="left"/>
      <w:rPr>
        <w:rFonts w:hint="default" w:ascii="Cambria" w:hAnsi="Cambria"/>
        <w:sz w:val="28"/>
        <w:szCs w:val="28"/>
        <w:lang w:val="en-US" w:eastAsia="zh-CN"/>
      </w:rPr>
    </w:pPr>
    <w:r>
      <w:rPr>
        <w:rFonts w:hint="eastAsia" w:ascii="Cambria" w:hAnsi="Cambria"/>
        <w:sz w:val="2"/>
        <w:szCs w:val="2"/>
        <w:lang w:val="en-US" w:eastAsia="zh-CN"/>
      </w:rPr>
      <w:t xml:space="preserve">  </w:t>
    </w:r>
    <w:r>
      <w:rPr>
        <w:rFonts w:hint="eastAsia" w:ascii="Cambria" w:hAnsi="Cambria"/>
        <w:sz w:val="32"/>
        <w:szCs w:val="32"/>
        <w:lang w:val="en-US" w:eastAsia="zh-CN"/>
      </w:rPr>
      <w:t xml:space="preserve">                                                                </w:t>
    </w:r>
    <w:r>
      <w:drawing>
        <wp:inline distT="0" distB="0" distL="114300" distR="114300">
          <wp:extent cx="878205" cy="290195"/>
          <wp:effectExtent l="0" t="0" r="10795" b="15875"/>
          <wp:docPr id="5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8205" cy="290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6FEAB">
    <w:pPr>
      <w:pStyle w:val="7"/>
    </w:pPr>
    <w:r>
      <w:pict>
        <v:shape id="PowerPlusWaterMarkObject661112813" o:spid="_x0000_s4099" o:spt="136" type="#_x0000_t136" style="position:absolute;left:0pt;height:41.8pt;width:544.0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重庆创灵境数字技术有限公司" style="font-family:宋体;font-size:8pt;v-same-letter-heights:f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9029D9">
    <w:pPr>
      <w:pStyle w:val="7"/>
    </w:pPr>
    <w:r>
      <w:pict>
        <v:shape id="PowerPlusWaterMarkObject661112812" o:spid="_x0000_s4097" o:spt="136" type="#_x0000_t136" style="position:absolute;left:0pt;height:41.8pt;width:544.0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重庆创灵境数字技术有限公司" style="font-family:宋体;font-size:8pt;v-same-letter-heights:f;v-text-align:center;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41641B">
    <w:pPr>
      <w:pStyle w:val="7"/>
      <w:pBdr>
        <w:bottom w:val="single" w:color="auto" w:sz="6" w:space="0"/>
      </w:pBdr>
      <w:spacing w:line="240" w:lineRule="auto"/>
      <w:ind w:firstLine="0" w:firstLineChars="0"/>
      <w:jc w:val="both"/>
    </w:pPr>
    <w:bookmarkStart w:id="10" w:name="OLE_LINK16"/>
    <w:bookmarkStart w:id="11" w:name="_Hlk255476443"/>
    <w:bookmarkStart w:id="12" w:name="OLE_LINK17"/>
    <w:r>
      <w:drawing>
        <wp:inline distT="0" distB="0" distL="114300" distR="114300">
          <wp:extent cx="682625" cy="225425"/>
          <wp:effectExtent l="0" t="0" r="3175" b="2540"/>
          <wp:docPr id="30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2625" cy="225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微软雅黑" w:hAnsi="微软雅黑" w:eastAsia="微软雅黑"/>
        <w:lang w:val="zh-CN"/>
      </w:rPr>
      <w:tab/>
    </w:r>
    <w:bookmarkEnd w:id="10"/>
    <w:bookmarkEnd w:id="11"/>
    <w:bookmarkEnd w:id="12"/>
    <w:r>
      <w:rPr>
        <w:rFonts w:ascii="微软雅黑" w:hAnsi="微软雅黑" w:eastAsia="微软雅黑"/>
        <w:lang w:val="zh-CN"/>
      </w:rPr>
      <w:t xml:space="preserve">                                                             </w:t>
    </w:r>
    <w:r>
      <w:rPr>
        <w:rFonts w:ascii="微软雅黑" w:hAnsi="微软雅黑" w:eastAsia="微软雅黑"/>
        <w:woUserID w:val="6"/>
      </w:rPr>
      <w:t xml:space="preserve">  </w:t>
    </w:r>
    <w:r>
      <w:rPr>
        <w:rFonts w:hint="eastAsia" w:ascii="微软雅黑" w:hAnsi="微软雅黑" w:eastAsia="微软雅黑"/>
        <w:lang w:val="en-US" w:eastAsia="zh-CN"/>
        <w:woUserID w:val="6"/>
      </w:rPr>
      <w:t xml:space="preserve">                                          整体解决方案</w:t>
    </w:r>
    <w:r>
      <w:rPr>
        <w:rFonts w:hint="eastAsia" w:ascii="微软雅黑" w:hAnsi="微软雅黑" w:eastAsia="微软雅黑"/>
        <w:lang w:val="en-US" w:eastAsia="zh-CN"/>
        <w:woUserID w:val="6"/>
      </w:rPr>
      <w:tab/>
    </w:r>
    <w:r>
      <w:rPr>
        <w:sz w:val="18"/>
      </w:rPr>
      <w:pict>
        <v:shape id="_x0000_s4100" o:spid="_x0000_s4100" o:spt="136" type="#_x0000_t136" style="position:absolute;left:0pt;height:47.3pt;width:539.9pt;mso-position-horizontal:center;mso-position-horizontal-relative:margin;mso-position-vertical:center;mso-position-vertical-relative:margin;rotation:-2949120f;z-index:-251654144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重庆创灵境数字技术有限公司" style="font-family:仿宋;font-size:36pt;v-same-letter-heights:f;v-text-align:center;"/>
        </v:shape>
      </w:pict>
    </w:r>
    <w:r>
      <w:rPr>
        <w:sz w:val="18"/>
      </w:rPr>
      <w:pict>
        <v:shape id="_x0000_s4103" o:spid="_x0000_s4103" o:spt="136" type="#_x0000_t136" style="position:absolute;left:0pt;height:47.3pt;width:539.9pt;mso-position-horizontal:center;mso-position-horizontal-relative:margin;mso-position-vertical:center;mso-position-vertical-relative:margin;rotation:-2949120f;z-index:-251653120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重庆创灵境数字技术有限公司" style="font-family:仿宋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C83366"/>
    <w:multiLevelType w:val="singleLevel"/>
    <w:tmpl w:val="54C83366"/>
    <w:lvl w:ilvl="0" w:tentative="0">
      <w:start w:val="1"/>
      <w:numFmt w:val="decimal"/>
      <w:lvlText w:val="%1"/>
      <w:legacy w:legacy="1" w:legacySpace="0" w:legacyIndent="0"/>
      <w:lvlJc w:val="left"/>
      <w:pPr>
        <w:ind w:left="0" w:firstLine="0"/>
      </w:pPr>
      <w:rPr>
        <w:rFonts w:hint="eastAsia" w:ascii="宋体" w:eastAsia="宋体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3,4"/>
    </o:shapelayout>
  </w:hdrShapeDefaults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0A1BFB"/>
    <w:rsid w:val="1E5FC37C"/>
    <w:rsid w:val="377C302E"/>
    <w:rsid w:val="480677A0"/>
    <w:rsid w:val="4ED98221"/>
    <w:rsid w:val="4EED886A"/>
    <w:rsid w:val="53AE22B0"/>
    <w:rsid w:val="62F05A66"/>
    <w:rsid w:val="739D4238"/>
    <w:rsid w:val="7F5EABD1"/>
    <w:rsid w:val="7F618110"/>
    <w:rsid w:val="9FDE301C"/>
    <w:rsid w:val="ABBB700E"/>
    <w:rsid w:val="B977DDAD"/>
    <w:rsid w:val="DFFD4C08"/>
    <w:rsid w:val="F9FE8422"/>
    <w:rsid w:val="FAEF54EA"/>
    <w:rsid w:val="FB7B0F51"/>
    <w:rsid w:val="FEC6EF0B"/>
    <w:rsid w:val="FF77BE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240" w:beforeLines="150" w:after="120" w:afterLines="50" w:line="360" w:lineRule="auto"/>
      <w:outlineLvl w:val="0"/>
    </w:pPr>
    <w:rPr>
      <w:rFonts w:ascii="Times New Roman" w:hAnsi="Times New Roman" w:eastAsia="黑体" w:cs="Times New Roman"/>
      <w:b/>
      <w:bCs/>
      <w:color w:val="000000"/>
      <w:kern w:val="44"/>
      <w:sz w:val="30"/>
      <w:szCs w:val="44"/>
    </w:rPr>
  </w:style>
  <w:style w:type="paragraph" w:styleId="3">
    <w:name w:val="heading 2"/>
    <w:basedOn w:val="1"/>
    <w:next w:val="1"/>
    <w:unhideWhenUsed/>
    <w:qFormat/>
    <w:uiPriority w:val="0"/>
    <w:pPr>
      <w:spacing w:before="200" w:beforeLines="0" w:beforeAutospacing="0" w:after="100" w:afterLines="0" w:afterAutospacing="0" w:line="360" w:lineRule="auto"/>
      <w:outlineLvl w:val="1"/>
    </w:pPr>
    <w:rPr>
      <w:rFonts w:ascii="Times New Roman" w:hAnsi="Times New Roman" w:eastAsia="黑体" w:cs="Times New Roman"/>
      <w:b/>
      <w:color w:val="000000"/>
      <w:sz w:val="28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overflowPunct w:val="0"/>
      <w:autoSpaceDE w:val="0"/>
      <w:autoSpaceDN w:val="0"/>
      <w:adjustRightInd w:val="0"/>
      <w:spacing w:before="120" w:after="120"/>
      <w:ind w:left="2520"/>
      <w:jc w:val="left"/>
      <w:textAlignment w:val="baseline"/>
    </w:pPr>
    <w:rPr>
      <w:rFonts w:ascii="宋体"/>
      <w:kern w:val="0"/>
      <w:sz w:val="24"/>
    </w:rPr>
  </w:style>
  <w:style w:type="paragraph" w:styleId="5">
    <w:name w:val="toc 3"/>
    <w:basedOn w:val="1"/>
    <w:next w:val="1"/>
    <w:qFormat/>
    <w:uiPriority w:val="39"/>
    <w:pPr>
      <w:ind w:left="420"/>
      <w:jc w:val="left"/>
    </w:pPr>
    <w:rPr>
      <w:iCs/>
      <w:sz w:val="20"/>
    </w:rPr>
  </w:style>
  <w:style w:type="paragraph" w:styleId="6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1"/>
    <w:next w:val="1"/>
    <w:qFormat/>
    <w:uiPriority w:val="39"/>
    <w:pPr>
      <w:tabs>
        <w:tab w:val="right" w:leader="dot" w:pos="8302"/>
      </w:tabs>
      <w:spacing w:before="20" w:after="20" w:line="312" w:lineRule="auto"/>
    </w:pPr>
    <w:rPr>
      <w:rFonts w:ascii="Times New Roman" w:hAnsi="Times New Roman" w:eastAsia="宋体" w:cs="Times New Roman"/>
      <w:b/>
      <w:bCs/>
      <w:caps/>
      <w:sz w:val="21"/>
    </w:rPr>
  </w:style>
  <w:style w:type="paragraph" w:styleId="TOC2">
    <w:name w:val="toc 2"/>
    <w:basedOn w:val="1"/>
    <w:next w:val="1"/>
    <w:qFormat/>
    <w:uiPriority w:val="39"/>
    <w:pPr>
      <w:tabs>
        <w:tab w:val="right" w:leader="dot" w:pos="8296"/>
      </w:tabs>
      <w:spacing w:before="20" w:after="20" w:line="312" w:lineRule="auto"/>
      <w:ind w:left="420"/>
      <w:jc w:val="left"/>
    </w:pPr>
    <w:rPr>
      <w:rFonts w:ascii="Times New Roman" w:hAnsi="Times New Roman" w:eastAsia="宋体" w:cs="Times New Roman"/>
      <w:smallCaps/>
      <w:sz w:val="21"/>
    </w:rPr>
  </w:style>
  <w:style w:type="paragraph" w:styleId="10">
    <w:name w:val="Normal (Web)"/>
    <w:basedOn w:val="1"/>
    <w:uiPriority w:val="0"/>
    <w:rPr>
      <w:sz w:val="24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qFormat/>
    <w:uiPriority w:val="99"/>
    <w:rPr>
      <w:color w:val="0000FF"/>
      <w:u w:val="single"/>
    </w:rPr>
  </w:style>
  <w:style w:type="paragraph" w:customStyle="1" w:styleId="15">
    <w:name w:val="Title Bar"/>
    <w:basedOn w:val="1"/>
    <w:qFormat/>
    <w:uiPriority w:val="0"/>
    <w:pPr>
      <w:pageBreakBefore/>
      <w:shd w:val="clear" w:color="auto" w:fill="auto"/>
      <w:overflowPunct w:val="0"/>
      <w:autoSpaceDE w:val="0"/>
      <w:autoSpaceDN w:val="0"/>
      <w:adjustRightInd w:val="0"/>
      <w:spacing w:before="1680"/>
      <w:ind w:left="2520" w:right="720"/>
      <w:jc w:val="left"/>
      <w:textAlignment w:val="baseline"/>
    </w:pPr>
    <w:rPr>
      <w:rFonts w:ascii="宋体"/>
      <w:kern w:val="0"/>
      <w:sz w:val="36"/>
    </w:rPr>
  </w:style>
  <w:style w:type="character" w:customStyle="1" w:styleId="16">
    <w:name w:val="Highlighted Variable"/>
    <w:qFormat/>
    <w:uiPriority w:val="0"/>
    <w:rPr>
      <w:color w:val="0000FF"/>
      <w:sz w:val="21"/>
    </w:rPr>
  </w:style>
  <w:style w:type="paragraph" w:customStyle="1" w:styleId="17">
    <w:name w:val="Table Heading"/>
    <w:basedOn w:val="18"/>
    <w:qFormat/>
    <w:uiPriority w:val="0"/>
    <w:pPr>
      <w:spacing w:before="120" w:after="120"/>
    </w:pPr>
    <w:rPr>
      <w:b/>
    </w:rPr>
  </w:style>
  <w:style w:type="paragraph" w:customStyle="1" w:styleId="18">
    <w:name w:val="Table Text"/>
    <w:basedOn w:val="1"/>
    <w:qFormat/>
    <w:uiPriority w:val="0"/>
    <w:pPr>
      <w:overflowPunct w:val="0"/>
      <w:autoSpaceDE w:val="0"/>
      <w:autoSpaceDN w:val="0"/>
      <w:adjustRightInd w:val="0"/>
      <w:jc w:val="left"/>
      <w:textAlignment w:val="baseline"/>
    </w:pPr>
    <w:rPr>
      <w:rFonts w:ascii="宋体"/>
      <w:kern w:val="0"/>
      <w:sz w:val="16"/>
    </w:rPr>
  </w:style>
  <w:style w:type="paragraph" w:customStyle="1" w:styleId="19">
    <w:name w:val="_Style 8"/>
    <w:basedOn w:val="2"/>
    <w:next w:val="1"/>
    <w:qFormat/>
    <w:uiPriority w:val="39"/>
    <w:pPr>
      <w:widowControl/>
      <w:spacing w:before="480" w:line="276" w:lineRule="auto"/>
      <w:jc w:val="left"/>
      <w:outlineLvl w:val="9"/>
    </w:pPr>
    <w:rPr>
      <w:rFonts w:ascii="Cambria" w:hAnsi="Cambria" w:eastAsia="宋体" w:cs="Times New Roman"/>
      <w:color w:val="365F91"/>
      <w:kern w:val="0"/>
      <w:sz w:val="28"/>
      <w:szCs w:val="28"/>
    </w:rPr>
  </w:style>
  <w:style w:type="paragraph" w:customStyle="1" w:styleId="Heading3">
    <w:name w:val="heading 3"/>
    <w:pPr>
      <w:spacing w:before="160" w:after="80" w:line="360" w:lineRule="auto"/>
    </w:pPr>
    <w:rPr>
      <w:rFonts w:ascii="Times New Roman" w:hAnsi="Times New Roman" w:eastAsia="黑体" w:cs="Times New Roman"/>
      <w:b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药衡智析演示团队</dc:creator>
  <cp:lastModifiedBy>药衡智析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