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B58F5A">
      <w:pPr>
        <w:pStyle w:val="15"/>
        <w:tabs>
          <w:tab w:val="left" w:pos="3960"/>
        </w:tabs>
        <w:spacing w:line="360" w:lineRule="auto"/>
        <w:ind w:left="0" w:right="26"/>
        <w:rPr>
          <w:rStyle w:val="16"/>
        </w:rPr>
        <w:snapToGrid w:val="0"/>
      </w:pPr>
    </w:p>
    <w:p w14:paraId="26A4B60E">
      <w:pPr>
        <w:spacing w:line="360" w:lineRule="auto"/>
        <w:snapToGrid w:val="0"/>
      </w:pPr>
    </w:p>
    <w:p w14:paraId="6E951B70">
      <w:bookmarkStart w:id="10002" w:name="YH_c282ade0_2"/>
      <w:pPr>
        <w:spacing w:line="360" w:lineRule="auto"/>
        <w:ind w:firstLine="420"/>
        <w:jc w:val="center"/>
        <w:rPr>
          <w:rStyle w:val="16"/>
          <w:rFonts w:hint="default"/>
          <w:b/>
          <w:bCs/>
          <w:sz w:val="48"/>
          <w:szCs w:val="48"/>
          <w:lang w:val="en-US" w:eastAsia="zh-CN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  <w:lang w:val="en-US" w:eastAsia="zh-CN"/>
        </w:rPr>
        <w:t xml:space="preserve">六味地黄胶囊 月度成本分析报告</w:t>
      </w:r>
      <w:bookmarkStart w:id="13" w:name="_GoBack"/>
      <w:bookmarkEnd w:id="13"/>
      <w:bookmarkEnd w:id="10002"/>
    </w:p>
    <w:p w14:paraId="0D02DA27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  <w:lang w:val="en-US" w:eastAsia="zh-CN"/>
        </w:rPr>
        <w:snapToGrid w:val="0"/>
      </w:pPr>
    </w:p>
    <w:p w14:paraId="1F23610A">
      <w:pPr>
        <w:spacing w:line="360" w:lineRule="auto"/>
        <w:jc w:val="center"/>
        <w:rPr>
          <w:rStyle w:val="16"/>
          <w:rFonts w:hint="eastAsia"/>
          <w:b/>
          <w:bCs/>
          <w:sz w:val="48"/>
          <w:szCs w:val="48"/>
        </w:rPr>
        <w:snapToGrid w:val="0"/>
      </w:pPr>
    </w:p>
    <w:p w14:paraId="67464046">
      <w:pPr>
        <w:spacing w:line="360" w:lineRule="auto"/>
        <w:jc w:val="center"/>
        <w:rPr>
          <w:b/>
          <w:bCs/>
          <w:color w:val="0000FF"/>
          <w:sz w:val="48"/>
          <w:szCs w:val="48"/>
        </w:rPr>
        <w:snapToGrid w:val="0"/>
      </w:pPr>
      <w:r>
        <w:rPr>
          <w:rStyle w:val="16"/>
          <w:rFonts w:hint="eastAsia" w:ascii="Times New Roman" w:hAnsi="Times New Roman" w:eastAsia="宋体" w:cs="Times New Roman"/>
          <w:b/>
          <w:bCs/>
          <w:sz w:val="48"/>
          <w:szCs w:val="48"/>
        </w:rPr>
        <w:t xml:space="preserve">产品成本智能分析报告</w:t>
      </w:r>
    </w:p>
    <w:p w14:paraId="70D2CFA8">
      <w:pPr>
        <w:pStyle w:val="4"/>
        <w:spacing w:line="360" w:lineRule="auto"/>
        <w:ind w:left="0"/>
        <w:rPr>
          <w:rFonts w:hint="eastAsia" w:hAnsi="宋体"/>
        </w:rPr>
        <w:snapToGrid w:val="0"/>
      </w:pPr>
      <w:r>
        <w:rPr>
          <w:rFonts w:hint="eastAsia" w:hAnsi="Times New Roman" w:ascii="Times New Roman" w:eastAsia="宋体" w:cs="Times New Roman"/>
        </w:rPr>
        <w:t xml:space="preserve"> </w:t>
      </w:r>
    </w:p>
    <w:p w14:paraId="090B5046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3C64F63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551A03F5">
      <w:pPr>
        <w:pStyle w:val="4"/>
        <w:spacing w:line="360" w:lineRule="auto"/>
        <w:ind w:left="0"/>
        <w:rPr>
          <w:rFonts w:hint="eastAsia" w:hAnsi="宋体"/>
        </w:rPr>
        <w:snapToGrid w:val="0"/>
      </w:pPr>
    </w:p>
    <w:p w14:paraId="77347557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  <w:bookmarkStart w:id="0" w:name="_Toc415912152"/>
      <w:bookmarkStart w:id="1" w:name="_Toc7317897"/>
      <w:bookmarkStart w:id="2" w:name="_Toc7318567"/>
      <w:bookmarkStart w:id="3" w:name="_Toc509606282"/>
      <w:bookmarkStart w:id="4" w:name="_Toc449934797"/>
    </w:p>
    <w:p w14:paraId="354F5CD2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85F19FB">
      <w:pPr>
        <w:spacing w:before="120" w:after="120" w:line="288" w:lineRule="auto"/>
        <w:ind w:left="0"/>
        <w:jc w:val="left"/>
        <w:rPr>
          <w:rFonts w:hint="eastAsia" w:ascii="微软雅黑" w:hAnsi="微软雅黑" w:eastAsia="微软雅黑" w:cs="微软雅黑"/>
          <w:b/>
          <w:sz w:val="22"/>
        </w:rPr>
        <w:snapToGrid w:val="0"/>
      </w:pPr>
    </w:p>
    <w:p w14:paraId="43612FAD">
      <w:pPr>
        <w:spacing w:before="800" w:after="120" w:line="360" w:lineRule="auto"/>
        <w:ind w:left="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文件版本： V3.0</w:t>
      </w:r>
    </w:p>
    <w:p w14:paraId="22868FAB">
      <w:bookmarkStart w:id="10015" w:name="YH_c282ade0_15"/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 xml:space="preserve">编制日期： 2026-09-24</w:t>
      </w:r>
      <w:r>
        <w:rPr>
          <w:rFonts w:hint="eastAsia" w:ascii="Times New Roman" w:hAnsi="Times New Roman" w:eastAsia="宋体" w:cs="Times New Roman"/>
          <w:sz w:val="22"/>
        </w:rPr>
      </w:r>
      <w:bookmarkEnd w:id="10015"/>
    </w:p>
    <w:p w14:paraId="6A3D3DEC">
      <w:pPr>
        <w:spacing w:before="120" w:after="120" w:line="360" w:lineRule="auto"/>
        <w:ind w:left="0" w:firstLine="420"/>
        <w:jc w:val="left"/>
        <w:rPr>
          <w:rFonts w:hint="eastAsia" w:ascii="微软雅黑" w:hAnsi="微软雅黑" w:eastAsia="微软雅黑" w:cs="微软雅黑"/>
        </w:rPr>
        <w:snapToGrid w:val="0"/>
      </w:pPr>
      <w:r>
        <w:rPr>
          <w:rFonts w:hint="eastAsia" w:ascii="Times New Roman" w:hAnsi="Times New Roman" w:eastAsia="宋体" w:cs="Times New Roman"/>
          <w:b/>
          <w:sz w:val="22"/>
        </w:rPr>
        <w:t>编制单位：</w:t>
      </w:r>
      <w:r>
        <w:rPr>
          <w:rFonts w:hint="eastAsia" w:ascii="Times New Roman" w:hAnsi="Times New Roman" w:eastAsia="宋体" w:cs="Times New Roman"/>
          <w:sz w:val="22"/>
        </w:rPr>
        <w:t xml:space="preserve"> 重庆创灵境数字技术有限公司</w:t>
      </w:r>
    </w:p>
    <w:p w14:paraId="5C4525E1">
      <w:pPr>
        <w:pageBreakBefore/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sz w:val="30"/>
          <w:szCs w:val="30"/>
        </w:rPr>
        <w:t>文档控制</w:t>
      </w:r>
      <w:bookmarkEnd w:id="0"/>
      <w:bookmarkEnd w:id="1"/>
      <w:bookmarkEnd w:id="2"/>
      <w:bookmarkEnd w:id="3"/>
      <w:bookmarkEnd w:id="4"/>
      <w:bookmarkStart w:id="5" w:name="_Toc449934798"/>
      <w:bookmarkStart w:id="6" w:name="_Toc7317898"/>
      <w:bookmarkStart w:id="7" w:name="_Toc415912153"/>
      <w:bookmarkStart w:id="8" w:name="_Toc7318568"/>
    </w:p>
    <w:p w14:paraId="3686E4F6">
      <w:pPr>
        <w:spacing w:line="360" w:lineRule="auto"/>
        <w:rPr>
          <w:rFonts w:hint="eastAsia" w:ascii="宋体" w:hAnsi="宋体"/>
          <w:b/>
          <w:bCs/>
        </w:rPr>
        <w:snapToGrid w:val="0"/>
      </w:pPr>
      <w:r>
        <w:rPr>
          <w:rFonts w:hint="eastAsia" w:ascii="Times New Roman" w:hAnsi="Times New Roman" w:eastAsia="宋体" w:cs="Times New Roman"/>
          <w:b/>
          <w:bCs/>
        </w:rPr>
        <w:t>版本记录</w:t>
      </w:r>
      <w:bookmarkEnd w:id="5"/>
      <w:bookmarkEnd w:id="6"/>
      <w:bookmarkEnd w:id="7"/>
      <w:bookmarkEnd w:id="8"/>
    </w:p>
    <w:tbl>
      <w:tblPr>
        <w:tblStyle w:val="11"/>
        <w:tblInd w:w="453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196"/>
        <w:gridCol w:w="1414"/>
        <w:gridCol w:w="1923"/>
        <w:gridCol w:w="2432"/>
      </w:tblGrid>
      <w:tr w14:paraId="56EB3084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3196" w:type="dxa"/>
          </w:tcPr>
          <w:p w14:paraId="69AD8A79">
            <w:pPr>
              <w:spacing w:line="360" w:lineRule="auto"/>
              <w:jc w:val="center"/>
              <w:rPr>
                <w:rFonts w:hint="eastAsia" w:hAnsi="宋体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 xml:space="preserve"> 日期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414" w:type="dxa"/>
          </w:tcPr>
          <w:p w14:paraId="44193883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作者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  <w:right w:val="single" w:color="auto" w:sz="2" w:space="0"/>
            </w:tcBorders>
            <w:shd w:val="clear" w:color="auto" w:fill="CCCCCC"/>
            <w:noWrap w:val="0"/>
            <w:vAlign w:val="top"/>
            <w:tcW w:w="1923" w:type="dxa"/>
          </w:tcPr>
          <w:p w14:paraId="38CAF85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版本号</w:t>
            </w:r>
          </w:p>
        </w:tc>
        <w:tc>
          <w:tcPr>
            <w:tcBorders>
              <w:top w:val="single" w:color="auto" w:sz="12" w:space="0"/>
              <w:left w:val="single" w:color="auto" w:sz="2" w:space="0"/>
              <w:bottom w:val="single" w:color="auto" w:sz="2" w:space="0"/>
            </w:tcBorders>
            <w:shd w:val="clear" w:color="auto" w:fill="CCCCCC"/>
            <w:noWrap w:val="0"/>
            <w:vAlign w:val="top"/>
            <w:tcW w:w="2432" w:type="dxa"/>
          </w:tcPr>
          <w:p w14:paraId="1672077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版本记录</w:t>
            </w:r>
          </w:p>
        </w:tc>
      </w:tr>
      <w:tr w14:paraId="743A86CA">
        <w:trPr>
          <w:cantSplit/>
          <w:tblHeader/>
        </w:trPr>
        <w:tc>
          <w:tcPr>
            <w:tcBorders>
              <w:top w:val="single" w:color="auto" w:sz="2" w:space="0"/>
            </w:tcBorders>
            <w:noWrap w:val="0"/>
            <w:vAlign w:val="top"/>
            <w:tcW w:w="3196" w:type="dxa"/>
          </w:tcPr>
          <w:p>
            <w:bookmarkStart w:id="10025" w:name="YH_c282ade0_25"/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2026-09-24</w:t>
            </w:r>
            <w:bookmarkEnd w:id="10025"/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414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龚云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192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V3.0</w:t>
            </w:r>
          </w:p>
        </w:tc>
        <w:tc>
          <w:tcPr>
            <w:tcBorders>
              <w:top w:val="single" w:color="auto" w:sz="2" w:space="0"/>
            </w:tcBorders>
            <w:noWrap w:val="0"/>
            <w:vAlign w:val="top"/>
            <w:tcW w:w="243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初版</w:t>
            </w:r>
          </w:p>
        </w:tc>
      </w:tr>
      <w:tr w14:paraId="2005E24F">
        <w:trPr>
          <w:cantSplit/>
          <w:tblHeader/>
        </w:trPr>
        <w:tc>
          <w:tcPr>
            <w:shd w:val="clear" w:color="auto" w:fill="auto"/>
            <w:noWrap w:val="0"/>
            <w:vAlign w:val="top"/>
            <w:tcW w:w="3196" w:type="dxa"/>
          </w:tcPr>
          <w:p w14:paraId="70ECA7F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414" w:type="dxa"/>
          </w:tcPr>
          <w:p w14:paraId="36A1C0A0">
            <w:pPr>
              <w:pStyle w:val="18"/>
              <w:spacing w:line="360" w:lineRule="auto"/>
              <w:jc w:val="left"/>
              <w:rPr>
                <w:rFonts w:hint="eastAsia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1923" w:type="dxa"/>
          </w:tcPr>
          <w:p w14:paraId="1D8485AB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  <w:tc>
          <w:tcPr>
            <w:shd w:val="clear" w:color="auto" w:fill="auto"/>
            <w:noWrap w:val="0"/>
            <w:vAlign w:val="top"/>
            <w:tcW w:w="2432" w:type="dxa"/>
          </w:tcPr>
          <w:p w14:paraId="7D01996A">
            <w:pPr>
              <w:pStyle w:val="18"/>
              <w:spacing w:line="360" w:lineRule="auto"/>
              <w:jc w:val="left"/>
              <w:rPr>
                <w:rFonts w:hint="default" w:ascii="宋体" w:hAnsi="宋体" w:eastAsia="宋体" w:cstheme="minorBidi"/>
                <w:kern w:val="0"/>
                <w:sz w:val="16"/>
                <w:szCs w:val="22"/>
                <w:lang w:val="en-US" w:eastAsia="zh-CN"/>
              </w:rPr>
            </w:pPr>
          </w:p>
        </w:tc>
      </w:tr>
      <w:tr w14:paraId="3A5D17AC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12FC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40C4DA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13B9F1D6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47D6528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01518EC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18F629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20D3FD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1C2F60C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5A8BD8C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22ADF9FE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01DC88B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43B8E507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DCCDA11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60ED05B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1800C29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FD6324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0EC9459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4C4AB1B4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7AAD76F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7CA34497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228427E0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6B8DF03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68746AAC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72A3BF5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1EEDE0F5">
        <w:trPr>
          <w:cantSplit/>
          <w:tblHeader/>
        </w:trPr>
        <w:tc>
          <w:tcPr>
            <w:noWrap w:val="0"/>
            <w:vAlign w:val="top"/>
            <w:shd w:fill="F7F7F7"/>
            <w:tcW w:w="3196" w:type="dxa"/>
          </w:tcPr>
          <w:p w14:paraId="342DE313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414" w:type="dxa"/>
          </w:tcPr>
          <w:p w14:paraId="3FDAA6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1923" w:type="dxa"/>
          </w:tcPr>
          <w:p w14:paraId="3F5539F9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432" w:type="dxa"/>
          </w:tcPr>
          <w:p w14:paraId="3D34456B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  <w:tr w14:paraId="64559AE2">
        <w:trPr>
          <w:cantSplit/>
          <w:tblHeader/>
        </w:trPr>
        <w:tc>
          <w:tcPr>
            <w:noWrap w:val="0"/>
            <w:vAlign w:val="top"/>
            <w:tcW w:w="3196" w:type="dxa"/>
          </w:tcPr>
          <w:p w14:paraId="1F8720D8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414" w:type="dxa"/>
          </w:tcPr>
          <w:p w14:paraId="345A15E2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1923" w:type="dxa"/>
          </w:tcPr>
          <w:p w14:paraId="3C17F69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  <w:tc>
          <w:tcPr>
            <w:noWrap w:val="0"/>
            <w:vAlign w:val="top"/>
            <w:tcW w:w="2432" w:type="dxa"/>
          </w:tcPr>
          <w:p w14:paraId="0A5FD95F">
            <w:pPr>
              <w:pStyle w:val="18"/>
              <w:spacing w:line="360" w:lineRule="auto"/>
              <w:jc w:val="left"/>
              <w:rPr>
                <w:rFonts w:hAnsi="宋体"/>
              </w:rPr>
            </w:pPr>
          </w:p>
        </w:tc>
      </w:tr>
    </w:tbl>
    <w:p w14:paraId="231C34DB">
      <w:pPr>
        <w:spacing w:before="120" w:after="120" w:line="360" w:lineRule="auto"/>
        <w:rPr>
          <w:rFonts w:hint="eastAsia" w:ascii="宋体" w:hAnsi="宋体"/>
          <w:b/>
        </w:rPr>
        <w:snapToGrid w:val="0"/>
      </w:pPr>
      <w:r>
        <w:rPr>
          <w:rFonts w:hint="eastAsia" w:ascii="Times New Roman" w:hAnsi="Times New Roman" w:eastAsia="宋体" w:cs="Times New Roman"/>
          <w:b/>
        </w:rPr>
        <w:t>查阅</w:t>
      </w:r>
    </w:p>
    <w:tbl>
      <w:tblPr>
        <w:tblStyle w:val="11"/>
        <w:tblInd w:w="46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483"/>
        <w:gridCol w:w="4482"/>
      </w:tblGrid>
      <w:tr w14:paraId="0F6BE266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4483" w:type="dxa"/>
          </w:tcPr>
          <w:p w14:paraId="7C8011D1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4482" w:type="dxa"/>
          </w:tcPr>
          <w:p w14:paraId="6AA9785E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备注</w:t>
            </w:r>
          </w:p>
        </w:tc>
      </w:tr>
      <w:tr w14:paraId="180E69F8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4483" w:type="dxa"/>
          </w:tcPr>
          <w:p w14:paraId="365DF85F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4482" w:type="dxa"/>
          </w:tcPr>
          <w:p w14:paraId="5AFA984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625566EF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665B14E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56923780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45B8A40B">
        <w:trPr>
          <w:cantSplit/>
          <w:tblHeader/>
        </w:trPr>
        <w:tc>
          <w:tcPr>
            <w:noWrap w:val="0"/>
            <w:vAlign w:val="top"/>
            <w:tcW w:w="4483" w:type="dxa"/>
          </w:tcPr>
          <w:p w14:paraId="01AFE10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tcW w:w="4482" w:type="dxa"/>
          </w:tcPr>
          <w:p w14:paraId="5C1DB3D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2C7CC3E5">
        <w:trPr>
          <w:cantSplit/>
          <w:tblHeader/>
        </w:trPr>
        <w:tc>
          <w:tcPr>
            <w:noWrap w:val="0"/>
            <w:vAlign w:val="top"/>
            <w:shd w:fill="F7F7F7"/>
            <w:tcW w:w="4483" w:type="dxa"/>
          </w:tcPr>
          <w:p w14:paraId="21C55DB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4482" w:type="dxa"/>
          </w:tcPr>
          <w:p w14:paraId="2311B1BD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25509D95">
      <w:pPr>
        <w:spacing w:before="120" w:after="120" w:line="360" w:lineRule="auto"/>
        <w:rPr>
          <w:rFonts w:hint="eastAsia" w:hAnsi="宋体"/>
        </w:rPr>
        <w:snapToGrid w:val="0"/>
      </w:pPr>
      <w:r>
        <w:rPr>
          <w:rFonts w:hint="eastAsia" w:ascii="Times New Roman" w:hAnsi="Times New Roman" w:eastAsia="宋体" w:cs="Times New Roman"/>
          <w:b/>
        </w:rPr>
        <w:t>分发</w:t>
      </w:r>
    </w:p>
    <w:tbl>
      <w:tblPr>
        <w:tblStyle w:val="11"/>
        <w:tblInd w:w="445" w:type="dxa"/>
        <w:tblBorders>
          <w:top w:val="single" w:color="auto" w:sz="12" w:space="0"/>
          <w:left w:val="single" w:color="auto" w:sz="12" w:space="0"/>
          <w:bottom w:val="single" w:color="auto" w:sz="12" w:space="0"/>
          <w:right w:val="single" w:color="auto" w:sz="12" w:space="0"/>
          <w:insideH w:val="single" w:color="auto" w:sz="6" w:space="0"/>
          <w:insideV w:val="single" w:color="auto" w:sz="6" w:space="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359"/>
        <w:gridCol w:w="2803"/>
        <w:gridCol w:w="2803"/>
      </w:tblGrid>
      <w:tr w14:paraId="1C3BF9B9">
        <w:trPr>
          <w:cantSplit/>
          <w:tblHeader/>
        </w:trPr>
        <w:tc>
          <w:tcPr>
            <w:tcBorders>
              <w:top w:val="single" w:color="auto" w:sz="12" w:space="0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3359" w:type="dxa"/>
          </w:tcPr>
          <w:p w14:paraId="54D512DD">
            <w:pPr>
              <w:pStyle w:val="17"/>
              <w:spacing w:line="360" w:lineRule="auto"/>
              <w:jc w:val="center"/>
              <w:rPr>
                <w:rFonts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抄送</w:t>
            </w:r>
            <w:r>
              <w:rPr>
                <w:rFonts w:hAnsi="Times New Roman" w:ascii="Times New Roman" w:eastAsia="宋体" w:cs="Times New Roman"/>
                <w:b/>
                <w:sz w:val="18"/>
              </w:rPr>
              <w:t>.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  <w:right w:val="nil"/>
            </w:tcBorders>
            <w:shd w:val="clear" w:color="auto" w:fill="CCCCCC"/>
            <w:noWrap w:val="0"/>
            <w:vAlign w:val="top"/>
            <w:tcW w:w="2803" w:type="dxa"/>
          </w:tcPr>
          <w:p w14:paraId="29B807E6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名字</w:t>
            </w:r>
          </w:p>
        </w:tc>
        <w:tc>
          <w:tcPr>
            <w:tcBorders>
              <w:top w:val="single" w:color="auto" w:sz="12" w:space="0"/>
              <w:left w:val="nil"/>
              <w:bottom w:val="single" w:color="auto" w:sz="6" w:space="0"/>
            </w:tcBorders>
            <w:shd w:val="clear" w:color="auto" w:fill="CCCCCC"/>
            <w:noWrap w:val="0"/>
            <w:vAlign w:val="top"/>
            <w:tcW w:w="2803" w:type="dxa"/>
          </w:tcPr>
          <w:p w14:paraId="0CD354C9">
            <w:pPr>
              <w:pStyle w:val="17"/>
              <w:spacing w:line="360" w:lineRule="auto"/>
              <w:jc w:val="center"/>
              <w:rPr>
                <w:rFonts w:hint="eastAsia" w:hAnsi="宋体"/>
                <w:sz w:val="21"/>
              </w:rPr>
            </w:pPr>
            <w:r>
              <w:rPr>
                <w:rFonts w:hint="eastAsia" w:hAnsi="Times New Roman" w:ascii="Times New Roman" w:eastAsia="宋体" w:cs="Times New Roman"/>
                <w:b/>
                <w:sz w:val="18"/>
              </w:rPr>
              <w:t>意见</w:t>
            </w:r>
          </w:p>
        </w:tc>
      </w:tr>
      <w:tr w14:paraId="6AA0833E">
        <w:trPr>
          <w:cantSplit/>
          <w:tblHeader/>
        </w:trPr>
        <w:tc>
          <w:tcPr>
            <w:tcBorders>
              <w:top w:val="nil"/>
            </w:tcBorders>
            <w:noWrap w:val="0"/>
            <w:vAlign w:val="top"/>
            <w:tcW w:w="3359" w:type="dxa"/>
          </w:tcPr>
          <w:p w14:paraId="6A61276D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49ECFE7D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tcBorders>
              <w:top w:val="nil"/>
            </w:tcBorders>
            <w:noWrap w:val="0"/>
            <w:vAlign w:val="top"/>
            <w:tcW w:w="2803" w:type="dxa"/>
          </w:tcPr>
          <w:p w14:paraId="7541E47C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684AAA82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529D1FBF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B4631C5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295FF64E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E6AE6B4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F2B7A8C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78A8516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5DD6E0B9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62FEB5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2D033772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551D9B8D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43416F8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  <w:tr w14:paraId="5321FE2F">
        <w:trPr>
          <w:cantSplit/>
          <w:tblHeader/>
        </w:trPr>
        <w:tc>
          <w:tcPr>
            <w:noWrap w:val="0"/>
            <w:vAlign w:val="top"/>
            <w:tcW w:w="3359" w:type="dxa"/>
          </w:tcPr>
          <w:p w14:paraId="219A0FD9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405598D9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tcW w:w="2803" w:type="dxa"/>
          </w:tcPr>
          <w:p w14:paraId="1BA91B40">
            <w:pPr>
              <w:pStyle w:val="18"/>
              <w:spacing w:line="360" w:lineRule="auto"/>
              <w:rPr>
                <w:rFonts w:hint="eastAsia" w:hAnsi="宋体"/>
              </w:rPr>
            </w:pPr>
          </w:p>
        </w:tc>
      </w:tr>
      <w:tr w14:paraId="0584DCCE">
        <w:trPr>
          <w:cantSplit/>
          <w:tblHeader/>
        </w:trPr>
        <w:tc>
          <w:tcPr>
            <w:noWrap w:val="0"/>
            <w:vAlign w:val="top"/>
            <w:shd w:fill="F7F7F7"/>
            <w:tcW w:w="3359" w:type="dxa"/>
          </w:tcPr>
          <w:p w14:paraId="661A0373">
            <w:pPr>
              <w:pStyle w:val="18"/>
              <w:numPr>
                <w:ilvl w:val="0"/>
                <w:numId w:val="1"/>
              </w:numPr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73C24080">
            <w:pPr>
              <w:pStyle w:val="18"/>
              <w:spacing w:line="360" w:lineRule="auto"/>
              <w:rPr>
                <w:rFonts w:hAnsi="宋体"/>
              </w:rPr>
            </w:pPr>
          </w:p>
        </w:tc>
        <w:tc>
          <w:tcPr>
            <w:noWrap w:val="0"/>
            <w:vAlign w:val="top"/>
            <w:shd w:fill="F7F7F7"/>
            <w:tcW w:w="2803" w:type="dxa"/>
          </w:tcPr>
          <w:p w14:paraId="12FAF7B7">
            <w:pPr>
              <w:pStyle w:val="18"/>
              <w:spacing w:line="360" w:lineRule="auto"/>
              <w:rPr>
                <w:rFonts w:hAnsi="宋体"/>
              </w:rPr>
            </w:pPr>
          </w:p>
        </w:tc>
      </w:tr>
    </w:tbl>
    <w:p w14:paraId="1668B7F8">
      <w:pPr>
        <w:spacing w:line="360" w:lineRule="auto"/>
        <w:jc w:val="center"/>
        <w:rPr>
          <w:rFonts w:hint="eastAsia" w:ascii="宋体" w:hAnsi="宋体"/>
          <w:b/>
          <w:bCs/>
          <w:sz w:val="30"/>
        </w:rPr>
        <w:snapToGrid w:val="0"/>
      </w:pPr>
    </w:p>
    <w:p w14:paraId="12075237">
      <w:pPr>
        <w:pageBreakBefore/>
        <w:spacing w:before="120" w:after="120" w:line="360" w:lineRule="auto"/>
        <w:rPr>
          <w:rFonts w:ascii="宋体" w:hAnsi="宋体"/>
        </w:rPr>
        <w:snapToGrid w:val="0"/>
      </w:pPr>
      <w:r>
        <w:rPr>
          <w:rFonts w:hint="eastAsia" w:ascii="Times New Roman" w:hAnsi="Times New Roman" w:eastAsia="宋体" w:cs="Times New Roman"/>
          <w:b/>
          <w:lang w:val="en-US" w:eastAsia="zh-CN"/>
        </w:rPr>
        <w:t>阅读指南</w:t>
      </w:r>
    </w:p>
    <w:p w14:paraId="7377E6A9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为了让不同角色的读者快速抓住重点，建议按以下路径阅读：</w:t>
      </w:r>
    </w:p>
    <w:p w14:paraId="706A3E79">
      <w:pPr>
        <w:widowControl/>
        <w:suppressLineNumbers w:val="0"/>
        <w:spacing w:line="360" w:lineRule="auto"/>
        <w:jc w:val="left"/>
        <w:rPr>
          <w:rFonts w:hint="eastAsia" w:ascii="等线" w:hAnsi="等线" w:eastAsia="等线" w:cs="等线"/>
          <w:kern w:val="0"/>
          <w:sz w:val="21"/>
          <w:szCs w:val="21"/>
          <w:lang w:val="en-US" w:eastAsia="zh-CN" w:bidi="ar"/>
        </w:rPr>
        <w:snapToGrid w:val="0"/>
      </w:pPr>
    </w:p>
    <w:tbl>
      <w:tblPr>
        <w:tblStyle w:val="11"/>
        <w:tblInd w:w="8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989"/>
        <w:gridCol w:w="2988"/>
        <w:gridCol w:w="2988"/>
      </w:tblGrid>
      <w:tr w14:paraId="23EB7635">
        <w:trPr>
          <w:trHeight w:val="580" w:hRule="atLeast"/>
          <w:tblHeader/>
          <w:cantSplit/>
        </w:trPr>
        <w:tc>
          <w:tcPr>
            <w:tcBorders>
              <w:top w:val="single" w:color="DEE0E3" w:sz="8" w:space="0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读者角色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阅读重点</w:t>
            </w:r>
          </w:p>
        </w:tc>
        <w:tc>
          <w:tcPr>
            <w:tcBorders>
              <w:top w:val="single" w:color="DEE0E3" w:sz="8" w:space="0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F2F2F2"/>
            <w:vAlign w:val="center"/>
            <w:tcW w:w="2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</w:r>
            <w:r>
              <w:rPr>
                <w:rFonts w:ascii="Times New Roman" w:hAnsi="Times New Roman" w:eastAsia="宋体" w:cs="Times New Roman"/>
                <w:b/>
                <w:sz w:val="18"/>
              </w:rPr>
              <w:t>目的</w:t>
            </w:r>
          </w:p>
        </w:tc>
      </w:tr>
      <w:tr w14:paraId="649EAFD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管理层/总经理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三、成本要素明细分析、四、重点产品专项分析、五、对标分析、六、总结与建议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了解现状痛点、方案核心价值、路线建议</w:t>
            </w:r>
          </w:p>
        </w:tc>
      </w:tr>
      <w:tr w14:paraId="5B759299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采购总监/业务负责人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了解具体业务方案、自动化场景、实施效果</w:t>
            </w:r>
          </w:p>
        </w:tc>
      </w:tr>
      <w:tr w14:paraId="19E38308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IT/实施团队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全文通读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 xml:space="preserve">维护系统配置与账号权限</w:t>
            </w:r>
          </w:p>
        </w:tc>
      </w:tr>
      <w:tr w14:paraId="5D9B84E5">
        <w:trPr>
          <w:trHeight w:val="1180" w:hRule="atLeast"/>
          <w:cantSplit/>
        </w:trPr>
        <w:tc>
          <w:tcPr>
            <w:tcBorders>
              <w:top w:val="nil"/>
              <w:left w:val="single" w:color="DEE0E3" w:sz="8" w:space="0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9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财务/采购决策者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六、总结与建议</w:t>
            </w:r>
          </w:p>
        </w:tc>
        <w:tc>
          <w:tcPr>
            <w:tcBorders>
              <w:top w:val="nil"/>
              <w:left w:val="nil"/>
              <w:bottom w:val="single" w:color="DEE0E3" w:sz="8" w:space="0"/>
              <w:right w:val="single" w:color="DEE0E3" w:sz="8" w:space="0"/>
            </w:tcBorders>
            <w:shd w:val="clear" w:color="auto" w:fill="auto"/>
            <w:vAlign w:val="center"/>
            <w:tcW w:w="298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</w:r>
            <w:r>
              <w:rPr>
                <w:rFonts w:ascii="Times New Roman" w:hAnsi="Times New Roman" w:eastAsia="宋体" w:cs="Times New Roman"/>
                <w:sz w:val="18"/>
              </w:rPr>
              <w:t>评估实施周期与预算，决策推进</w:t>
            </w:r>
          </w:p>
        </w:tc>
      </w:tr>
    </w:tbl>
    <w:p w14:paraId="1EE548AA">
      <w:pPr>
        <w:widowControl/>
        <w:suppressLineNumbers w:val="0"/>
        <w:spacing w:line="360" w:lineRule="auto"/>
        <w:ind w:firstLine="420"/>
        <w:jc w:val="left"/>
        <w:rPr>
          <w:rFonts w:hint="eastAsia" w:ascii="等线" w:hAnsi="等线" w:eastAsia="等线" w:cs="等线"/>
          <w:sz w:val="21"/>
          <w:szCs w:val="21"/>
        </w:rPr>
        <w:snapToGrid w:val="0"/>
      </w:pPr>
      <w:r>
        <w:rPr>
          <w:rFonts w:hint="eastAsia" w:ascii="Times New Roman" w:hAnsi="Times New Roman" w:eastAsia="宋体" w:cs="Times New Roman"/>
          <w:b/>
          <w:bCs/>
          <w:kern w:val="0"/>
          <w:sz w:val="21"/>
          <w:szCs w:val="21"/>
          <w:lang w:val="en-US" w:eastAsia="zh-CN" w:bidi="ar"/>
        </w:rPr>
        <w:t>关键提示：</w:t>
      </w:r>
      <w:r>
        <w:rPr>
          <w:rFonts w:hint="eastAsia" w:ascii="Times New Roman" w:hAnsi="Times New Roman" w:eastAsia="宋体" w:cs="Times New Roman"/>
          <w:kern w:val="0"/>
          <w:sz w:val="21"/>
          <w:szCs w:val="21"/>
          <w:lang w:val="en-US" w:eastAsia="zh-CN" w:bidi="ar"/>
        </w:rPr>
        <w:t>方案中所有功能模块、看板、分析模型均为“可选组件”，并非一次性全部实施。方案在于整体设计，根据情况按需选择、最后分步实施切实可行。</w:t>
      </w:r>
    </w:p>
    <w:p w14:paraId="15E5B084">
      <w:bookmarkStart w:id="30000" w:name="YH_TOC"/>
      <w:pPr>
        <w:pStyle w:val="19"/>
        <w:pageBreakBefore/>
        <w:spacing w:before="360" w:after="120" w:line="360" w:lineRule="auto"/>
        <w:jc w:val="center"/>
        <w:snapToGrid w:val="0"/>
      </w:pPr>
      <w:r>
        <w:rPr>
          <w:rFonts w:ascii="Times New Roman" w:hAnsi="Times New Roman" w:eastAsia="宋体" w:cs="Times New Roman"/>
          <w:lang w:val="zh-CN"/>
        </w:rPr>
        <w:t>目</w:t>
      </w:r>
      <w:r>
        <w:rPr>
          <w:rFonts w:hint="eastAsia" w:ascii="Times New Roman" w:hAnsi="Times New Roman" w:eastAsia="宋体" w:cs="Times New Roman"/>
        </w:rPr>
        <w:t xml:space="preserve">     </w:t>
      </w:r>
      <w:r>
        <w:rPr>
          <w:rFonts w:ascii="Times New Roman" w:hAnsi="Times New Roman" w:eastAsia="宋体" w:cs="Times New Roman"/>
          <w:lang w:val="zh-CN"/>
        </w:rPr>
        <w:t>录</w:t>
      </w:r>
    </w:p>
    <w:p>
      <w:pPr>
        <w:pStyle w:val="TOC1"/>
        <w:tabs>
          <w:tab w:val="right" w:leader="dot" w:pos="22923"/>
        </w:tabs>
      </w:pPr>
      <w:r>
        <w:rPr>
          <w:rFonts w:ascii="Times New Roman" w:hAnsi="Times New Roman" w:eastAsia="宋体" w:cs="Times New Roman"/>
        </w:rPr>
        <w:fldChar w:fldCharType="begin"/>
      </w:r>
      <w:r>
        <w:rPr>
          <w:rFonts w:ascii="Times New Roman" w:hAnsi="Times New Roman" w:eastAsia="宋体" w:cs="Times New Roman"/>
        </w:rPr>
        <w:instrText xml:space="preserve"> TOC \o "1-4" \h \z \u </w:instrText>
      </w:r>
      <w:r>
        <w:rPr>
          <w:rFonts w:ascii="Times New Roman" w:hAnsi="Times New Roman" w:eastAsia="宋体" w:cs="Times New Roman"/>
        </w:rPr>
        <w:fldChar w:fldCharType="separate"/>
      </w:r>
      <w:hyperlink w:anchor="YH_SEC_T0" w:history="1">
        <w:r>
          <w:t xml:space="preserve">一、封面与基本信息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1" w:history="1">
        <w:r>
          <w:t xml:space="preserve">二、总成本概览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2" w:history="1">
        <w:r>
          <w:t xml:space="preserve">2.1 核心指标一览</w:t>
        </w:r>
        <w:r>
          <w:tab/>
        </w:r>
        <w:r>
          <w:t xml:space="preserve">第6页</w:t>
        </w:r>
      </w:hyperlink>
    </w:p>
    <w:p>
      <w:pPr>
        <w:pStyle w:val="TOC2"/>
        <w:tabs>
          <w:tab w:val="right" w:leader="dot" w:pos="22923"/>
        </w:tabs>
      </w:pPr>
      <w:hyperlink w:anchor="YH_SEC_T3" w:history="1">
        <w:r>
          <w:t xml:space="preserve">2.2 成本结构</w:t>
        </w:r>
        <w:r>
          <w:tab/>
        </w:r>
        <w:r>
          <w:t xml:space="preserve">第6页</w:t>
        </w:r>
      </w:hyperlink>
    </w:p>
    <w:p>
      <w:pPr>
        <w:pStyle w:val="TOC1"/>
        <w:tabs>
          <w:tab w:val="right" w:leader="dot" w:pos="22923"/>
        </w:tabs>
      </w:pPr>
      <w:hyperlink w:anchor="YH_SEC_T4" w:history="1">
        <w:r>
          <w:t xml:space="preserve">三、成本要素明细分析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5" w:history="1">
        <w:r>
          <w:t xml:space="preserve">3.1 直接材料分析</w:t>
        </w:r>
        <w:r>
          <w:tab/>
        </w:r>
        <w:r>
          <w:t xml:space="preserve">第8页</w:t>
        </w:r>
      </w:hyperlink>
    </w:p>
    <w:p>
      <w:pPr>
        <w:pStyle w:val="TOC2"/>
        <w:tabs>
          <w:tab w:val="right" w:leader="dot" w:pos="22923"/>
        </w:tabs>
      </w:pPr>
      <w:hyperlink w:anchor="YH_SEC_T6" w:history="1">
        <w:r>
          <w:t xml:space="preserve">3.2 直接人工分析</w:t>
        </w:r>
        <w:r>
          <w:tab/>
        </w:r>
        <w:r>
          <w:t xml:space="preserve">第9页</w:t>
        </w:r>
      </w:hyperlink>
    </w:p>
    <w:p>
      <w:pPr>
        <w:pStyle w:val="TOC2"/>
        <w:tabs>
          <w:tab w:val="right" w:leader="dot" w:pos="22923"/>
        </w:tabs>
      </w:pPr>
      <w:hyperlink w:anchor="YH_SEC_T7" w:history="1">
        <w:r>
          <w:t xml:space="preserve">3.3 制造费用分析</w:t>
        </w:r>
        <w:r>
          <w:tab/>
        </w:r>
        <w:r>
          <w:t xml:space="preserve">第9页</w:t>
        </w:r>
      </w:hyperlink>
    </w:p>
    <w:p>
      <w:pPr>
        <w:pStyle w:val="TOC1"/>
        <w:tabs>
          <w:tab w:val="right" w:leader="dot" w:pos="22923"/>
        </w:tabs>
      </w:pPr>
      <w:hyperlink w:anchor="YH_SEC_T8" w:history="1">
        <w:r>
          <w:t xml:space="preserve">四、重点产品专项分析 — 六味地黄胶囊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9" w:history="1">
        <w:r>
          <w:t xml:space="preserve">4.1 近6个月单位成本趋势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10" w:history="1">
        <w:r>
          <w:t xml:space="preserve">4.2 成本异常点排查</w:t>
        </w:r>
        <w:r>
          <w:tab/>
        </w:r>
        <w:r>
          <w:t xml:space="preserve">第11页</w:t>
        </w:r>
      </w:hyperlink>
    </w:p>
    <w:p>
      <w:pPr>
        <w:pStyle w:val="TOC2"/>
        <w:tabs>
          <w:tab w:val="right" w:leader="dot" w:pos="22923"/>
        </w:tabs>
      </w:pPr>
      <w:hyperlink w:anchor="YH_SEC_T11" w:history="1">
        <w:r>
          <w:t xml:space="preserve">4.3 关键原材料市场价格跟踪</w:t>
        </w:r>
        <w:r>
          <w:tab/>
        </w:r>
        <w:r>
          <w:t xml:space="preserve">第12页</w:t>
        </w:r>
      </w:hyperlink>
    </w:p>
    <w:p>
      <w:pPr>
        <w:pStyle w:val="TOC1"/>
        <w:tabs>
          <w:tab w:val="right" w:leader="dot" w:pos="22923"/>
        </w:tabs>
      </w:pPr>
      <w:hyperlink w:anchor="YH_SEC_T12" w:history="1">
        <w:r>
          <w:t xml:space="preserve">五、对标分析（与中药二厂）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3" w:history="1">
        <w:r>
          <w:t xml:space="preserve">5.1 差异总览</w:t>
        </w:r>
        <w:r>
          <w:tab/>
        </w:r>
        <w:r>
          <w:t xml:space="preserve">第13页</w:t>
        </w:r>
      </w:hyperlink>
    </w:p>
    <w:p>
      <w:pPr>
        <w:pStyle w:val="TOC2"/>
        <w:tabs>
          <w:tab w:val="right" w:leader="dot" w:pos="22923"/>
        </w:tabs>
      </w:pPr>
      <w:hyperlink w:anchor="YH_SEC_T14" w:history="1">
        <w:r>
          <w:t xml:space="preserve">5.2 差异结构拆解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5" w:history="1">
        <w:r>
          <w:t xml:space="preserve">5.3 差异归因分析</w:t>
        </w:r>
        <w:r>
          <w:tab/>
        </w:r>
        <w:r>
          <w:t xml:space="preserve">第14页</w:t>
        </w:r>
      </w:hyperlink>
    </w:p>
    <w:p>
      <w:pPr>
        <w:pStyle w:val="TOC1"/>
        <w:tabs>
          <w:tab w:val="right" w:leader="dot" w:pos="22923"/>
        </w:tabs>
      </w:pPr>
      <w:hyperlink w:anchor="YH_SEC_T16" w:history="1">
        <w:r>
          <w:t xml:space="preserve">六、总结与建议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7" w:history="1">
        <w:r>
          <w:t xml:space="preserve">6.1 本月成本管理亮点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8" w:history="1">
        <w:r>
          <w:t xml:space="preserve">6.2 需关注的问题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19" w:history="1">
        <w:r>
          <w:t xml:space="preserve">6.3 改进建议</w:t>
        </w:r>
        <w:r>
          <w:tab/>
        </w:r>
        <w:r>
          <w:t xml:space="preserve">第14页</w:t>
        </w:r>
      </w:hyperlink>
    </w:p>
    <w:p>
      <w:pPr>
        <w:pStyle w:val="TOC2"/>
        <w:tabs>
          <w:tab w:val="right" w:leader="dot" w:pos="22923"/>
        </w:tabs>
      </w:pPr>
      <w:hyperlink w:anchor="YH_SEC_T20" w:history="1">
        <w:r>
          <w:t xml:space="preserve">6.4 整改任务清单（自动生成）</w:t>
        </w:r>
        <w:r>
          <w:tab/>
        </w:r>
        <w:r>
          <w:t xml:space="preserve">第15页</w:t>
        </w:r>
      </w:hyperlink>
      <w:r>
        <w:rPr>
          <w:rFonts w:ascii="Times New Roman" w:hAnsi="Times New Roman" w:eastAsia="宋体" w:cs="Times New Roman"/>
        </w:rPr>
        <w:fldChar w:fldCharType="end"/>
      </w:r>
    </w:p>
    <w:p>
      <w:pPr>
        <w:spacing w:before="120" w:line="360" w:lineRule="auto"/>
        <w:spacing w:after="0"/>
        <w:snapToGrid w:val="0"/>
      </w:pPr>
      <w:r>
        <w:rPr>
          <w:sz w:val="18"/>
          <w:color w:val="808080"/>
          <w:rFonts w:ascii="Times New Roman" w:hAnsi="Times New Roman" w:eastAsia="宋体" w:cs="Times New Roman"/>
        </w:rPr>
        <w:t xml:space="preserve">（若目录页码与实际分页有出入，可右键点击目录 → 更新域 → 更新整个目录。）</w:t>
      </w:r>
    </w:p>
    <w:p>
      <w:bookmarkStart w:id="10130" w:name="YH_c282ade0_130"/>
      <w:pPr>
        <w:pageBreakBefore/>
        <w:spacing w:line="360" w:lineRule="auto"/>
        <w:ind w:firstLine="420"/>
        <w:outlineLvl w:val="0"/>
        <w:snapToGrid w:val="0"/>
      </w:pPr>
      <w:r>
        <w:rPr>
          <w:rFonts w:ascii="Times New Roman" w:hAnsi="Times New Roman" w:eastAsia="宋体" w:cs="Times New Roman"/>
          <w:b/>
          <w:sz w:val="32"/>
        </w:rPr>
        <w:t xml:space="preserve">六味地黄胶囊 月度成本分析报告</w:t>
      </w:r>
      <w:bookmarkEnd w:id="10130"/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报告编号：YH-1D3AF9E5（分析周期 2026-03）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人工审核：待审核。本次采用基础分析，原因解释待复核。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b/>
          <w:sz w:val="24"/>
        </w:rPr>
        <w:t>核心结论（5 项）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1. 总量：本期总成本 595700.00 元（产量 35000 盒），单位成本 17.02 元/盒，环比下降3.30%，同比上升0.59%。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2. 要素：三要素单位成本环比 直接材料 ‑0.36 元/盒、制造费用 ‑0.12 元/盒、直接人工 ‑0.10 元/盒；影响最大的是直接材料（每盒减少 0.36 元）。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3. 根因：多维归因首位“原料：山茱萸”下降（解释力 17.2%，可能性中）；对照厂 DiD 检验结论见 4.2 节。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4. 对标：对比 中药二厂，单位成本差异 ‑1.16 元/盒（对标厂较高），差异结构与拆解见第五章。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  <w:sz w:val="21"/>
        </w:rPr>
        <w:t>5. 行动：共 4 条整改/核查建议（第六章）；优先项——按同批次核对采购价、投料与合格产出，分别检查采购变化和生产损耗。</w:t>
      </w:r>
    </w:p>
    <w:p>
      <w:bookmarkStart w:id="31000" w:name="YH_SEC_T0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一、封面与基本信息</w:t>
      </w:r>
      <w:bookmarkEnd w:id="3100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表1-1 封面与基本信息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243"/>
        <w:gridCol w:w="5722"/>
      </w:tblGrid>
      <w:tr>
        <w:trPr>
          <w:tblHeader/>
          <w:cantSplit/>
        </w:trPr>
        <w:tc>
          <w:tcPr>
            <w:shd w:fill="D9D9D9"/>
            <w:tcW w:w="324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项目</w:t>
            </w:r>
          </w:p>
        </w:tc>
        <w:tc>
          <w:tcPr>
            <w:shd w:fill="D9D9D9"/>
            <w:tcW w:w="572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内容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报告类型</w:t>
            </w:r>
          </w:p>
        </w:tc>
        <w:tc>
          <w:tcPr>
            <w:tcW w:w="5722" w:type="dxa"/>
          </w:tcPr>
          <w:p>
            <w:bookmarkStart w:id="10135" w:name="YH_c282ade0_135"/>
            <w:r>
              <w:rPr>
                <w:rFonts w:ascii="Times New Roman" w:hAnsi="Times New Roman" w:eastAsia="宋体" w:cs="Times New Roman"/>
                <w:sz w:val="18"/>
              </w:rPr>
              <w:t xml:space="preserve">月度成本分析</w:t>
            </w:r>
            <w:bookmarkEnd w:id="10135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分析月份</w:t>
            </w:r>
          </w:p>
        </w:tc>
        <w:tc>
          <w:tcPr>
            <w:shd w:fill="F7F7F7"/>
            <w:tcW w:w="5722" w:type="dxa"/>
          </w:tcPr>
          <w:p>
            <w:bookmarkStart w:id="10137" w:name="YH_c282ade0_137"/>
            <w:r>
              <w:rPr>
                <w:rFonts w:ascii="Times New Roman" w:hAnsi="Times New Roman" w:eastAsia="宋体" w:cs="Times New Roman"/>
                <w:sz w:val="18"/>
              </w:rPr>
              <w:t xml:space="preserve">2026-03</w:t>
            </w:r>
            <w:bookmarkEnd w:id="10137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分析产品</w:t>
            </w:r>
          </w:p>
        </w:tc>
        <w:tc>
          <w:tcPr>
            <w:tcW w:w="5722" w:type="dxa"/>
          </w:tcPr>
          <w:p>
            <w:bookmarkStart w:id="10139" w:name="YH_c282ade0_139"/>
            <w:r>
              <w:rPr>
                <w:rFonts w:ascii="Times New Roman" w:hAnsi="Times New Roman" w:eastAsia="宋体" w:cs="Times New Roman"/>
                <w:sz w:val="18"/>
              </w:rPr>
              <w:t xml:space="preserve">六味地黄胶囊</w:t>
            </w:r>
            <w:bookmarkEnd w:id="10139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产品规格</w:t>
            </w:r>
          </w:p>
        </w:tc>
        <w:tc>
          <w:tcPr>
            <w:shd w:fill="F7F7F7"/>
            <w:tcW w:w="5722" w:type="dxa"/>
          </w:tcPr>
          <w:p>
            <w:bookmarkStart w:id="10141" w:name="YH_c282ade0_141"/>
            <w:r>
              <w:rPr>
                <w:rFonts w:ascii="Times New Roman" w:hAnsi="Times New Roman" w:eastAsia="宋体" w:cs="Times New Roman"/>
                <w:sz w:val="18"/>
              </w:rPr>
              <w:t xml:space="preserve">0.3g×60粒/盒</w:t>
            </w:r>
            <w:bookmarkEnd w:id="10141"/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本月产量</w:t>
            </w:r>
          </w:p>
        </w:tc>
        <w:tc>
          <w:tcPr>
            <w:noWrap/>
            <w:tcW w:w="5722" w:type="dxa"/>
          </w:tcPr>
          <w:p>
            <w:bookmarkStart w:id="10143" w:name="YH_c282ade0_143"/>
            <w:r>
              <w:rPr>
                <w:rFonts w:ascii="Times New Roman" w:hAnsi="Times New Roman" w:eastAsia="宋体" w:cs="Times New Roman"/>
                <w:sz w:val="18"/>
              </w:rPr>
              <w:t xml:space="preserve">35000 盒</w:t>
            </w:r>
            <w:bookmarkEnd w:id="10143"/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编制人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财务部成本会计</w:t>
            </w:r>
          </w:p>
        </w:tc>
      </w:tr>
      <w:tr>
        <w:trPr>
          <w:cantSplit/>
        </w:trPr>
        <w:tc>
          <w:tcPr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审核人</w:t>
            </w:r>
          </w:p>
        </w:tc>
        <w:tc>
          <w:tcPr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财务总监</w:t>
            </w:r>
          </w:p>
        </w:tc>
      </w:tr>
      <w:tr>
        <w:trPr>
          <w:cantSplit/>
        </w:trPr>
        <w:tc>
          <w:tcPr>
            <w:shd w:fill="F7F7F7"/>
            <w:tcW w:w="3243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数据来源</w:t>
            </w:r>
          </w:p>
        </w:tc>
        <w:tc>
          <w:tcPr>
            <w:shd w:fill="F7F7F7"/>
            <w:tcW w:w="572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ERP系统成本模块</w:t>
            </w:r>
          </w:p>
        </w:tc>
      </w:tr>
    </w:tbl>
    <w:p>
      <w:pPr>
        <w:snapToGrid w:val="0"/>
      </w:pPr>
    </w:p>
    <w:p>
      <w:bookmarkStart w:id="31001" w:name="YH_SEC_T1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二、总成本概览</w:t>
      </w:r>
      <w:bookmarkEnd w:id="31001"/>
    </w:p>
    <w:p>
      <w:bookmarkStart w:id="31002" w:name="YH_SEC_T2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2.1 核心指标一览</w:t>
      </w:r>
      <w:bookmarkEnd w:id="31002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表2-1 核心指标一览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261"/>
        <w:gridCol w:w="1031"/>
        <w:gridCol w:w="1031"/>
        <w:gridCol w:w="860"/>
        <w:gridCol w:w="1031"/>
        <w:gridCol w:w="860"/>
        <w:gridCol w:w="1031"/>
        <w:gridCol w:w="860"/>
      </w:tblGrid>
      <w:tr>
        <w:trPr>
          <w:tblHeader/>
          <w:cantSplit/>
        </w:trPr>
        <w:tc>
          <w:tcPr>
            <w:shd w:fill="D9D9D9"/>
            <w:tcW w:w="226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本月实际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上月实际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去年同月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同比变动</w:t>
            </w:r>
          </w:p>
        </w:tc>
        <w:tc>
          <w:tcPr>
            <w:shd w:fill="D9D9D9"/>
            <w:tcW w:w="103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预算值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预算偏差</w:t>
            </w:r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产量(盒)</w:t>
            </w:r>
          </w:p>
        </w:tc>
        <w:tc>
          <w:tcPr>
            <w:noWrap/>
            <w:tcW w:w="1031" w:type="dxa"/>
          </w:tcPr>
          <w:p>
            <w:bookmarkStart w:id="10162" w:name="YH_c282ade0_162"/>
            <w:r>
              <w:rPr>
                <w:rFonts w:ascii="Times New Roman" w:hAnsi="Times New Roman" w:eastAsia="宋体" w:cs="Times New Roman"/>
                <w:sz w:val="18"/>
              </w:rPr>
              <w:t xml:space="preserve">35000</w:t>
            </w:r>
            <w:bookmarkEnd w:id="10162"/>
          </w:p>
        </w:tc>
        <w:tc>
          <w:tcPr>
            <w:noWrap/>
            <w:tcW w:w="1031" w:type="dxa"/>
          </w:tcPr>
          <w:p>
            <w:bookmarkStart w:id="10163" w:name="YH_c282ade0_163"/>
            <w:r>
              <w:rPr>
                <w:rFonts w:ascii="Times New Roman" w:hAnsi="Times New Roman" w:eastAsia="宋体" w:cs="Times New Roman"/>
                <w:sz w:val="18"/>
              </w:rPr>
              <w:t xml:space="preserve">28000</w:t>
            </w:r>
            <w:bookmarkEnd w:id="10163"/>
          </w:p>
        </w:tc>
        <w:tc>
          <w:tcPr>
            <w:noWrap/>
            <w:tcW w:w="860" w:type="dxa"/>
          </w:tcPr>
          <w:p>
            <w:bookmarkStart w:id="10164" w:name="YH_c282ade0_164"/>
            <w:r>
              <w:rPr>
                <w:rFonts w:ascii="Times New Roman" w:hAnsi="Times New Roman" w:eastAsia="宋体" w:cs="Times New Roman"/>
                <w:sz w:val="18"/>
              </w:rPr>
              <w:t xml:space="preserve">25.00%</w:t>
            </w:r>
            <w:bookmarkEnd w:id="10164"/>
          </w:p>
        </w:tc>
        <w:tc>
          <w:tcPr>
            <w:noWrap/>
            <w:tcW w:w="1031" w:type="dxa"/>
          </w:tcPr>
          <w:p>
            <w:bookmarkStart w:id="10165" w:name="YH_c282ade0_165"/>
            <w:r>
              <w:rPr>
                <w:rFonts w:ascii="Times New Roman" w:hAnsi="Times New Roman" w:eastAsia="宋体" w:cs="Times New Roman"/>
                <w:sz w:val="18"/>
              </w:rPr>
              <w:t xml:space="preserve">33300</w:t>
            </w:r>
            <w:bookmarkEnd w:id="10165"/>
          </w:p>
        </w:tc>
        <w:tc>
          <w:tcPr>
            <w:noWrap/>
            <w:tcW w:w="860" w:type="dxa"/>
          </w:tcPr>
          <w:p>
            <w:bookmarkStart w:id="10166" w:name="YH_c282ade0_166"/>
            <w:r>
              <w:rPr>
                <w:rFonts w:ascii="Times New Roman" w:hAnsi="Times New Roman" w:eastAsia="宋体" w:cs="Times New Roman"/>
                <w:sz w:val="18"/>
              </w:rPr>
              <w:t xml:space="preserve">5.11%</w:t>
            </w:r>
            <w:bookmarkEnd w:id="10166"/>
          </w:p>
        </w:tc>
        <w:tc>
          <w:tcPr>
            <w:noWrap/>
            <w:tcW w:w="1031" w:type="dxa"/>
          </w:tcPr>
          <w:p>
            <w:bookmarkStart w:id="10167" w:name="YH_c282ade0_167"/>
            <w:r>
              <w:rPr>
                <w:rFonts w:ascii="Times New Roman" w:hAnsi="Times New Roman" w:eastAsia="宋体" w:cs="Times New Roman"/>
                <w:sz w:val="18"/>
              </w:rPr>
              <w:t xml:space="preserve">35000</w:t>
            </w:r>
            <w:bookmarkEnd w:id="10167"/>
          </w:p>
        </w:tc>
        <w:tc>
          <w:tcPr>
            <w:noWrap/>
            <w:tcW w:w="860" w:type="dxa"/>
          </w:tcPr>
          <w:p>
            <w:bookmarkStart w:id="10168" w:name="YH_c282ade0_168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168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单位成本(元/盒)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70" w:name="YH_c282ade0_170"/>
            <w:r>
              <w:rPr>
                <w:rFonts w:ascii="Times New Roman" w:hAnsi="Times New Roman" w:eastAsia="宋体" w:cs="Times New Roman"/>
                <w:sz w:val="18"/>
              </w:rPr>
              <w:t xml:space="preserve">17.02</w:t>
            </w:r>
            <w:bookmarkEnd w:id="10170"/>
          </w:p>
        </w:tc>
        <w:tc>
          <w:tcPr>
            <w:shd w:fill="F7F7F7"/>
            <w:noWrap/>
            <w:tcW w:w="1031" w:type="dxa"/>
          </w:tcPr>
          <w:p>
            <w:bookmarkStart w:id="10171" w:name="YH_c282ade0_171"/>
            <w:r>
              <w:rPr>
                <w:rFonts w:ascii="Times New Roman" w:hAnsi="Times New Roman" w:eastAsia="宋体" w:cs="Times New Roman"/>
                <w:sz w:val="18"/>
              </w:rPr>
              <w:t xml:space="preserve">17.60</w:t>
            </w:r>
            <w:bookmarkEnd w:id="10171"/>
          </w:p>
        </w:tc>
        <w:tc>
          <w:tcPr>
            <w:shd w:fill="F7F7F7"/>
            <w:noWrap/>
            <w:tcW w:w="860" w:type="dxa"/>
          </w:tcPr>
          <w:p>
            <w:bookmarkStart w:id="10172" w:name="YH_c282ade0_17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-3.30%</w:t>
            </w:r>
            <w:bookmarkEnd w:id="10172"/>
          </w:p>
        </w:tc>
        <w:tc>
          <w:tcPr>
            <w:shd w:fill="F7F7F7"/>
            <w:noWrap/>
            <w:tcW w:w="1031" w:type="dxa"/>
          </w:tcPr>
          <w:p>
            <w:bookmarkStart w:id="10173" w:name="YH_c282ade0_173"/>
            <w:r>
              <w:rPr>
                <w:rFonts w:ascii="Times New Roman" w:hAnsi="Times New Roman" w:eastAsia="宋体" w:cs="Times New Roman"/>
                <w:sz w:val="18"/>
              </w:rPr>
              <w:t xml:space="preserve">16.92</w:t>
            </w:r>
            <w:bookmarkEnd w:id="10173"/>
          </w:p>
        </w:tc>
        <w:tc>
          <w:tcPr>
            <w:shd w:fill="F7F7F7"/>
            <w:noWrap/>
            <w:tcW w:w="860" w:type="dxa"/>
          </w:tcPr>
          <w:p>
            <w:bookmarkStart w:id="10174" w:name="YH_c282ade0_174"/>
            <w:r>
              <w:rPr>
                <w:rFonts w:ascii="Times New Roman" w:hAnsi="Times New Roman" w:eastAsia="宋体" w:cs="Times New Roman"/>
                <w:sz w:val="18"/>
              </w:rPr>
              <w:t xml:space="preserve">0.59%</w:t>
            </w:r>
            <w:bookmarkEnd w:id="10174"/>
          </w:p>
        </w:tc>
        <w:tc>
          <w:tcPr>
            <w:shd w:fill="F7F7F7"/>
            <w:noWrap/>
            <w:tcW w:w="1031" w:type="dxa"/>
          </w:tcPr>
          <w:p>
            <w:bookmarkStart w:id="10175" w:name="YH_c282ade0_175"/>
            <w:r>
              <w:rPr>
                <w:rFonts w:ascii="Times New Roman" w:hAnsi="Times New Roman" w:eastAsia="宋体" w:cs="Times New Roman"/>
                <w:sz w:val="18"/>
              </w:rPr>
              <w:t xml:space="preserve">17.10</w:t>
            </w:r>
            <w:bookmarkEnd w:id="10175"/>
          </w:p>
        </w:tc>
        <w:tc>
          <w:tcPr>
            <w:shd w:fill="F7F7F7"/>
            <w:noWrap/>
            <w:tcW w:w="860" w:type="dxa"/>
          </w:tcPr>
          <w:p>
            <w:bookmarkStart w:id="10176" w:name="YH_c282ade0_176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-0.47%</w:t>
            </w:r>
            <w:bookmarkEnd w:id="10176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总成本(元)</w:t>
            </w:r>
          </w:p>
        </w:tc>
        <w:tc>
          <w:tcPr>
            <w:noWrap/>
            <w:tcW w:w="1031" w:type="dxa"/>
          </w:tcPr>
          <w:p>
            <w:bookmarkStart w:id="10178" w:name="YH_c282ade0_178"/>
            <w:r>
              <w:rPr>
                <w:rFonts w:ascii="Times New Roman" w:hAnsi="Times New Roman" w:eastAsia="宋体" w:cs="Times New Roman"/>
                <w:sz w:val="18"/>
              </w:rPr>
              <w:t xml:space="preserve">595700.00</w:t>
            </w:r>
            <w:bookmarkEnd w:id="10178"/>
          </w:p>
        </w:tc>
        <w:tc>
          <w:tcPr>
            <w:noWrap/>
            <w:tcW w:w="1031" w:type="dxa"/>
          </w:tcPr>
          <w:p>
            <w:bookmarkStart w:id="10179" w:name="YH_c282ade0_179"/>
            <w:r>
              <w:rPr>
                <w:rFonts w:ascii="Times New Roman" w:hAnsi="Times New Roman" w:eastAsia="宋体" w:cs="Times New Roman"/>
                <w:sz w:val="18"/>
              </w:rPr>
              <w:t xml:space="preserve">492800.00</w:t>
            </w:r>
            <w:bookmarkEnd w:id="10179"/>
          </w:p>
        </w:tc>
        <w:tc>
          <w:tcPr>
            <w:noWrap/>
            <w:tcW w:w="860" w:type="dxa"/>
          </w:tcPr>
          <w:p>
            <w:bookmarkStart w:id="10180" w:name="YH_c282ade0_180"/>
            <w:r>
              <w:rPr>
                <w:rFonts w:ascii="Times New Roman" w:hAnsi="Times New Roman" w:eastAsia="宋体" w:cs="Times New Roman"/>
                <w:sz w:val="18"/>
              </w:rPr>
              <w:t xml:space="preserve">20.88%</w:t>
            </w:r>
            <w:bookmarkEnd w:id="10180"/>
          </w:p>
        </w:tc>
        <w:tc>
          <w:tcPr>
            <w:noWrap/>
            <w:tcW w:w="1031" w:type="dxa"/>
          </w:tcPr>
          <w:p>
            <w:bookmarkStart w:id="10181" w:name="YH_c282ade0_181"/>
            <w:r>
              <w:rPr>
                <w:rFonts w:ascii="Times New Roman" w:hAnsi="Times New Roman" w:eastAsia="宋体" w:cs="Times New Roman"/>
                <w:sz w:val="18"/>
              </w:rPr>
              <w:t xml:space="preserve">563436.00</w:t>
            </w:r>
            <w:bookmarkEnd w:id="10181"/>
          </w:p>
        </w:tc>
        <w:tc>
          <w:tcPr>
            <w:noWrap/>
            <w:tcW w:w="860" w:type="dxa"/>
          </w:tcPr>
          <w:p>
            <w:bookmarkStart w:id="10182" w:name="YH_c282ade0_182"/>
            <w:r>
              <w:rPr>
                <w:rFonts w:ascii="Times New Roman" w:hAnsi="Times New Roman" w:eastAsia="宋体" w:cs="Times New Roman"/>
                <w:sz w:val="18"/>
              </w:rPr>
              <w:t xml:space="preserve">5.73%</w:t>
            </w:r>
            <w:bookmarkEnd w:id="10182"/>
          </w:p>
        </w:tc>
        <w:tc>
          <w:tcPr>
            <w:noWrap/>
            <w:tcW w:w="1031" w:type="dxa"/>
          </w:tcPr>
          <w:p>
            <w:bookmarkStart w:id="10183" w:name="YH_c282ade0_183"/>
            <w:r>
              <w:rPr>
                <w:rFonts w:ascii="Times New Roman" w:hAnsi="Times New Roman" w:eastAsia="宋体" w:cs="Times New Roman"/>
                <w:sz w:val="18"/>
              </w:rPr>
              <w:t xml:space="preserve">598500.00</w:t>
            </w:r>
            <w:bookmarkEnd w:id="10183"/>
          </w:p>
        </w:tc>
        <w:tc>
          <w:tcPr>
            <w:noWrap/>
            <w:tcW w:w="860" w:type="dxa"/>
          </w:tcPr>
          <w:p>
            <w:bookmarkStart w:id="10184" w:name="YH_c282ade0_18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-0.47%</w:t>
            </w:r>
            <w:bookmarkEnd w:id="10184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其中：直接材料(元/盒)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186" w:name="YH_c282ade0_186"/>
            <w:r>
              <w:rPr>
                <w:rFonts w:ascii="Times New Roman" w:hAnsi="Times New Roman" w:eastAsia="宋体" w:cs="Times New Roman"/>
                <w:sz w:val="18"/>
              </w:rPr>
              <w:t xml:space="preserve">11.99</w:t>
            </w:r>
            <w:bookmarkEnd w:id="10186"/>
          </w:p>
        </w:tc>
        <w:tc>
          <w:tcPr>
            <w:shd w:fill="F7F7F7"/>
            <w:noWrap/>
            <w:tcW w:w="1031" w:type="dxa"/>
          </w:tcPr>
          <w:p>
            <w:bookmarkStart w:id="10187" w:name="YH_c282ade0_187"/>
            <w:r>
              <w:rPr>
                <w:rFonts w:ascii="Times New Roman" w:hAnsi="Times New Roman" w:eastAsia="宋体" w:cs="Times New Roman"/>
                <w:sz w:val="18"/>
              </w:rPr>
              <w:t xml:space="preserve">12.35</w:t>
            </w:r>
            <w:bookmarkEnd w:id="10187"/>
          </w:p>
        </w:tc>
        <w:tc>
          <w:tcPr>
            <w:shd w:fill="F7F7F7"/>
            <w:noWrap/>
            <w:tcW w:w="860" w:type="dxa"/>
          </w:tcPr>
          <w:p>
            <w:bookmarkStart w:id="10188" w:name="YH_c282ade0_188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-2.91%</w:t>
            </w:r>
            <w:bookmarkEnd w:id="10188"/>
          </w:p>
        </w:tc>
        <w:tc>
          <w:tcPr>
            <w:shd w:fill="F7F7F7"/>
            <w:noWrap/>
            <w:tcW w:w="1031" w:type="dxa"/>
          </w:tcPr>
          <w:p>
            <w:bookmarkStart w:id="22110" w:name="YH_reader_去年材料成本"/>
            <w:r>
              <w:rPr>
                <w:rFonts w:ascii="Times New Roman" w:hAnsi="Times New Roman" w:eastAsia="宋体" w:cs="Times New Roman"/>
                <w:sz w:val="18"/>
              </w:rPr>
              <w:t xml:space="preserve">11.93</w:t>
            </w:r>
            <w:bookmarkEnd w:id="22110"/>
          </w:p>
        </w:tc>
        <w:tc>
          <w:tcPr>
            <w:shd w:fill="F7F7F7"/>
            <w:noWrap/>
            <w:tcW w:w="860" w:type="dxa"/>
          </w:tcPr>
          <w:p>
            <w:bookmarkStart w:id="22111" w:name="YH_reader_材料成本同比"/>
            <w:r>
              <w:rPr>
                <w:rFonts w:ascii="Times New Roman" w:hAnsi="Times New Roman" w:eastAsia="宋体" w:cs="Times New Roman"/>
                <w:sz w:val="18"/>
              </w:rPr>
              <w:t xml:space="preserve">0.50%</w:t>
            </w:r>
            <w:bookmarkEnd w:id="22111"/>
          </w:p>
        </w:tc>
        <w:tc>
          <w:tcPr>
            <w:shd w:fill="F7F7F7"/>
            <w:noWrap/>
            <w:tcW w:w="1031" w:type="dxa"/>
          </w:tcPr>
          <w:p>
            <w:bookmarkStart w:id="10191" w:name="YH_c282ade0_191"/>
            <w:r>
              <w:rPr>
                <w:rFonts w:ascii="Times New Roman" w:hAnsi="Times New Roman" w:eastAsia="宋体" w:cs="Times New Roman"/>
                <w:sz w:val="18"/>
              </w:rPr>
              <w:t xml:space="preserve">12.10</w:t>
            </w:r>
            <w:bookmarkEnd w:id="10191"/>
          </w:p>
        </w:tc>
        <w:tc>
          <w:tcPr>
            <w:shd w:fill="F7F7F7"/>
            <w:noWrap/>
            <w:tcW w:w="860" w:type="dxa"/>
          </w:tcPr>
          <w:p>
            <w:bookmarkStart w:id="10192" w:name="YH_c282ade0_19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-0.91%</w:t>
            </w:r>
            <w:bookmarkEnd w:id="10192"/>
          </w:p>
        </w:tc>
      </w:tr>
      <w:tr>
        <w:trPr>
          <w:cantSplit/>
        </w:trPr>
        <w:tc>
          <w:tcPr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其中：直接人工(元/盒)</w:t>
            </w:r>
          </w:p>
        </w:tc>
        <w:tc>
          <w:tcPr>
            <w:noWrap/>
            <w:tcW w:w="1031" w:type="dxa"/>
          </w:tcPr>
          <w:p>
            <w:bookmarkStart w:id="10194" w:name="YH_c282ade0_194"/>
            <w:r>
              <w:rPr>
                <w:rFonts w:ascii="Times New Roman" w:hAnsi="Times New Roman" w:eastAsia="宋体" w:cs="Times New Roman"/>
                <w:sz w:val="18"/>
              </w:rPr>
              <w:t xml:space="preserve">2.05</w:t>
            </w:r>
            <w:bookmarkEnd w:id="10194"/>
          </w:p>
        </w:tc>
        <w:tc>
          <w:tcPr>
            <w:noWrap/>
            <w:tcW w:w="1031" w:type="dxa"/>
          </w:tcPr>
          <w:p>
            <w:bookmarkStart w:id="10195" w:name="YH_c282ade0_195"/>
            <w:r>
              <w:rPr>
                <w:rFonts w:ascii="Times New Roman" w:hAnsi="Times New Roman" w:eastAsia="宋体" w:cs="Times New Roman"/>
                <w:sz w:val="18"/>
              </w:rPr>
              <w:t xml:space="preserve">2.15</w:t>
            </w:r>
            <w:bookmarkEnd w:id="10195"/>
          </w:p>
        </w:tc>
        <w:tc>
          <w:tcPr>
            <w:noWrap/>
            <w:tcW w:w="860" w:type="dxa"/>
          </w:tcPr>
          <w:p>
            <w:bookmarkStart w:id="10196" w:name="YH_c282ade0_196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-4.65%</w:t>
            </w:r>
            <w:bookmarkEnd w:id="10196"/>
          </w:p>
        </w:tc>
        <w:tc>
          <w:tcPr>
            <w:noWrap/>
            <w:tcW w:w="1031" w:type="dxa"/>
          </w:tcPr>
          <w:p>
            <w:bookmarkStart w:id="22112" w:name="YH_reader_去年人工成本"/>
            <w:r>
              <w:rPr>
                <w:rFonts w:ascii="Times New Roman" w:hAnsi="Times New Roman" w:eastAsia="宋体" w:cs="Times New Roman"/>
                <w:sz w:val="18"/>
              </w:rPr>
              <w:t xml:space="preserve">2.03</w:t>
            </w:r>
            <w:bookmarkEnd w:id="22112"/>
          </w:p>
        </w:tc>
        <w:tc>
          <w:tcPr>
            <w:noWrap/>
            <w:tcW w:w="860" w:type="dxa"/>
          </w:tcPr>
          <w:p>
            <w:bookmarkStart w:id="22113" w:name="YH_reader_人工成本同比"/>
            <w:r>
              <w:rPr>
                <w:rFonts w:ascii="Times New Roman" w:hAnsi="Times New Roman" w:eastAsia="宋体" w:cs="Times New Roman"/>
                <w:sz w:val="18"/>
              </w:rPr>
              <w:t xml:space="preserve">0.99%</w:t>
            </w:r>
            <w:bookmarkEnd w:id="22113"/>
          </w:p>
        </w:tc>
        <w:tc>
          <w:tcPr>
            <w:noWrap/>
            <w:tcW w:w="1031" w:type="dxa"/>
          </w:tcPr>
          <w:p>
            <w:bookmarkStart w:id="10199" w:name="YH_c282ade0_199"/>
            <w:r>
              <w:rPr>
                <w:rFonts w:ascii="Times New Roman" w:hAnsi="Times New Roman" w:eastAsia="宋体" w:cs="Times New Roman"/>
                <w:sz w:val="18"/>
              </w:rPr>
              <w:t xml:space="preserve">2.06</w:t>
            </w:r>
            <w:bookmarkEnd w:id="10199"/>
          </w:p>
        </w:tc>
        <w:tc>
          <w:tcPr>
            <w:noWrap/>
            <w:tcW w:w="860" w:type="dxa"/>
          </w:tcPr>
          <w:p>
            <w:bookmarkStart w:id="10200" w:name="YH_c282ade0_200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-0.49%</w:t>
            </w:r>
            <w:bookmarkEnd w:id="10200"/>
          </w:p>
        </w:tc>
      </w:tr>
      <w:tr>
        <w:trPr>
          <w:cantSplit/>
        </w:trPr>
        <w:tc>
          <w:tcPr>
            <w:shd w:fill="F7F7F7"/>
            <w:tcW w:w="226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其中：制造费用(元/盒)</w:t>
            </w:r>
          </w:p>
        </w:tc>
        <w:tc>
          <w:tcPr>
            <w:shd w:fill="F7F7F7"/>
            <w:noWrap/>
            <w:tcW w:w="1031" w:type="dxa"/>
          </w:tcPr>
          <w:p>
            <w:bookmarkStart w:id="10202" w:name="YH_c282ade0_202"/>
            <w:r>
              <w:rPr>
                <w:rFonts w:ascii="Times New Roman" w:hAnsi="Times New Roman" w:eastAsia="宋体" w:cs="Times New Roman"/>
                <w:sz w:val="18"/>
              </w:rPr>
              <w:t xml:space="preserve">2.98</w:t>
            </w:r>
            <w:bookmarkEnd w:id="10202"/>
          </w:p>
        </w:tc>
        <w:tc>
          <w:tcPr>
            <w:shd w:fill="F7F7F7"/>
            <w:noWrap/>
            <w:tcW w:w="1031" w:type="dxa"/>
          </w:tcPr>
          <w:p>
            <w:bookmarkStart w:id="10203" w:name="YH_c282ade0_203"/>
            <w:r>
              <w:rPr>
                <w:rFonts w:ascii="Times New Roman" w:hAnsi="Times New Roman" w:eastAsia="宋体" w:cs="Times New Roman"/>
                <w:sz w:val="18"/>
              </w:rPr>
              <w:t xml:space="preserve">3.10</w:t>
            </w:r>
            <w:bookmarkEnd w:id="10203"/>
          </w:p>
        </w:tc>
        <w:tc>
          <w:tcPr>
            <w:shd w:fill="F7F7F7"/>
            <w:noWrap/>
            <w:tcW w:w="860" w:type="dxa"/>
          </w:tcPr>
          <w:p>
            <w:bookmarkStart w:id="10204" w:name="YH_c282ade0_20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-3.87%</w:t>
            </w:r>
            <w:bookmarkEnd w:id="10204"/>
          </w:p>
        </w:tc>
        <w:tc>
          <w:tcPr>
            <w:shd w:fill="F7F7F7"/>
            <w:noWrap/>
            <w:tcW w:w="1031" w:type="dxa"/>
          </w:tcPr>
          <w:p>
            <w:bookmarkStart w:id="22114" w:name="YH_reader_去年制造费用"/>
            <w:r>
              <w:rPr>
                <w:rFonts w:ascii="Times New Roman" w:hAnsi="Times New Roman" w:eastAsia="宋体" w:cs="Times New Roman"/>
                <w:sz w:val="18"/>
              </w:rPr>
              <w:t xml:space="preserve">2.96</w:t>
            </w:r>
            <w:bookmarkEnd w:id="22114"/>
          </w:p>
        </w:tc>
        <w:tc>
          <w:tcPr>
            <w:shd w:fill="F7F7F7"/>
            <w:noWrap/>
            <w:tcW w:w="860" w:type="dxa"/>
          </w:tcPr>
          <w:p>
            <w:bookmarkStart w:id="22115" w:name="YH_reader_制造费用成本同比"/>
            <w:r>
              <w:rPr>
                <w:rFonts w:ascii="Times New Roman" w:hAnsi="Times New Roman" w:eastAsia="宋体" w:cs="Times New Roman"/>
                <w:sz w:val="18"/>
              </w:rPr>
              <w:t xml:space="preserve">0.68%</w:t>
            </w:r>
            <w:bookmarkEnd w:id="22115"/>
          </w:p>
        </w:tc>
        <w:tc>
          <w:tcPr>
            <w:shd w:fill="F7F7F7"/>
            <w:noWrap/>
            <w:tcW w:w="1031" w:type="dxa"/>
          </w:tcPr>
          <w:p>
            <w:bookmarkStart w:id="10207" w:name="YH_c282ade0_207"/>
            <w:r>
              <w:rPr>
                <w:rFonts w:ascii="Times New Roman" w:hAnsi="Times New Roman" w:eastAsia="宋体" w:cs="Times New Roman"/>
                <w:sz w:val="18"/>
              </w:rPr>
              <w:t xml:space="preserve">2.94</w:t>
            </w:r>
            <w:bookmarkEnd w:id="10207"/>
          </w:p>
        </w:tc>
        <w:tc>
          <w:tcPr>
            <w:shd w:fill="F7F7F7"/>
            <w:noWrap/>
            <w:tcW w:w="860" w:type="dxa"/>
          </w:tcPr>
          <w:p>
            <w:bookmarkStart w:id="10208" w:name="YH_c282ade0_208"/>
            <w:r>
              <w:rPr>
                <w:rFonts w:ascii="Times New Roman" w:hAnsi="Times New Roman" w:eastAsia="宋体" w:cs="Times New Roman"/>
                <w:sz w:val="18"/>
              </w:rPr>
              <w:t xml:space="preserve">1.36%</w:t>
            </w:r>
            <w:bookmarkEnd w:id="10208"/>
          </w:p>
        </w:tc>
      </w:tr>
    </w:tbl>
    <w:p>
      <w:pPr>
        <w:snapToGrid w:val="0"/>
      </w:pPr>
    </w:p>
    <w:p>
      <w:bookmarkStart w:id="31003" w:name="YH_SEC_T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2.2 成本结构</w:t>
      </w:r>
      <w:bookmarkEnd w:id="31003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02115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aterfal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0211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图2-1 上期至本期单位成本桥接（浮动柱=要素变动，橙涨绿跌）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4680000" cy="31532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ructur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5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图2-2 三要素单位成本构成占比</w:t>
      </w:r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240804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dge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24080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图2-3 三要素实际与预算对比（柱上为预算偏差）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表2-2 成本结构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82"/>
        <w:gridCol w:w="1157"/>
        <w:gridCol w:w="833"/>
        <w:gridCol w:w="860"/>
        <w:gridCol w:w="833"/>
      </w:tblGrid>
      <w:tr>
        <w:trPr>
          <w:tblHeader/>
          <w:cantSplit/>
        </w:trPr>
        <w:tc>
          <w:tcPr>
            <w:shd w:fill="D9D9D9"/>
            <w:tcW w:w="528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成本要素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金额(元/盒)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占比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贡献度</w:t>
            </w:r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直接材料</w:t>
            </w:r>
          </w:p>
        </w:tc>
        <w:tc>
          <w:tcPr>
            <w:noWrap/>
            <w:tcW w:w="1157" w:type="dxa"/>
          </w:tcPr>
          <w:p>
            <w:bookmarkStart w:id="10217" w:name="YH_c282ade0_217"/>
            <w:r>
              <w:rPr>
                <w:rFonts w:ascii="Times New Roman" w:hAnsi="Times New Roman" w:eastAsia="宋体" w:cs="Times New Roman"/>
                <w:sz w:val="18"/>
              </w:rPr>
              <w:t xml:space="preserve">11.99</w:t>
            </w:r>
            <w:bookmarkEnd w:id="10217"/>
          </w:p>
        </w:tc>
        <w:tc>
          <w:tcPr>
            <w:noWrap/>
            <w:tcW w:w="833" w:type="dxa"/>
          </w:tcPr>
          <w:p>
            <w:bookmarkStart w:id="10218" w:name="YH_c282ade0_218"/>
            <w:r>
              <w:rPr>
                <w:rFonts w:ascii="Times New Roman" w:hAnsi="Times New Roman" w:eastAsia="宋体" w:cs="Times New Roman"/>
                <w:sz w:val="18"/>
              </w:rPr>
              <w:t xml:space="preserve">70.45%</w:t>
            </w:r>
            <w:bookmarkEnd w:id="10218"/>
          </w:p>
        </w:tc>
        <w:tc>
          <w:tcPr>
            <w:noWrap/>
            <w:tcW w:w="860" w:type="dxa"/>
          </w:tcPr>
          <w:p>
            <w:bookmarkStart w:id="10219" w:name="YH_c282ade0_21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-0.36</w:t>
            </w:r>
            <w:bookmarkEnd w:id="10219"/>
          </w:p>
        </w:tc>
        <w:tc>
          <w:tcPr>
            <w:noWrap/>
            <w:tcW w:w="833" w:type="dxa"/>
          </w:tcPr>
          <w:p>
            <w:bookmarkStart w:id="10220" w:name="YH_c282ade0_220"/>
            <w:r>
              <w:rPr>
                <w:rFonts w:ascii="Times New Roman" w:hAnsi="Times New Roman" w:eastAsia="宋体" w:cs="Times New Roman"/>
                <w:sz w:val="18"/>
              </w:rPr>
              <w:t xml:space="preserve">62.07%</w:t>
            </w:r>
            <w:bookmarkEnd w:id="1022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直接人工</w:t>
            </w:r>
          </w:p>
        </w:tc>
        <w:tc>
          <w:tcPr>
            <w:shd w:fill="F7F7F7"/>
            <w:noWrap/>
            <w:tcW w:w="1157" w:type="dxa"/>
          </w:tcPr>
          <w:p>
            <w:bookmarkStart w:id="10222" w:name="YH_c282ade0_222"/>
            <w:r>
              <w:rPr>
                <w:rFonts w:ascii="Times New Roman" w:hAnsi="Times New Roman" w:eastAsia="宋体" w:cs="Times New Roman"/>
                <w:sz w:val="18"/>
              </w:rPr>
              <w:t xml:space="preserve">2.05</w:t>
            </w:r>
            <w:bookmarkEnd w:id="10222"/>
          </w:p>
        </w:tc>
        <w:tc>
          <w:tcPr>
            <w:shd w:fill="F7F7F7"/>
            <w:noWrap/>
            <w:tcW w:w="833" w:type="dxa"/>
          </w:tcPr>
          <w:p>
            <w:bookmarkStart w:id="10223" w:name="YH_c282ade0_223"/>
            <w:r>
              <w:rPr>
                <w:rFonts w:ascii="Times New Roman" w:hAnsi="Times New Roman" w:eastAsia="宋体" w:cs="Times New Roman"/>
                <w:sz w:val="18"/>
              </w:rPr>
              <w:t xml:space="preserve">12.04%</w:t>
            </w:r>
            <w:bookmarkEnd w:id="10223"/>
          </w:p>
        </w:tc>
        <w:tc>
          <w:tcPr>
            <w:shd w:fill="F7F7F7"/>
            <w:noWrap/>
            <w:tcW w:w="860" w:type="dxa"/>
          </w:tcPr>
          <w:p>
            <w:bookmarkStart w:id="10224" w:name="YH_c282ade0_22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-0.10</w:t>
            </w:r>
            <w:bookmarkEnd w:id="10224"/>
          </w:p>
        </w:tc>
        <w:tc>
          <w:tcPr>
            <w:shd w:fill="F7F7F7"/>
            <w:noWrap/>
            <w:tcW w:w="833" w:type="dxa"/>
          </w:tcPr>
          <w:p>
            <w:bookmarkStart w:id="10225" w:name="YH_c282ade0_225"/>
            <w:r>
              <w:rPr>
                <w:rFonts w:ascii="Times New Roman" w:hAnsi="Times New Roman" w:eastAsia="宋体" w:cs="Times New Roman"/>
                <w:sz w:val="18"/>
              </w:rPr>
              <w:t xml:space="preserve">17.24%</w:t>
            </w:r>
            <w:bookmarkEnd w:id="10225"/>
          </w:p>
        </w:tc>
      </w:tr>
      <w:tr>
        <w:trPr>
          <w:cantSplit/>
        </w:trPr>
        <w:tc>
          <w:tcPr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制造费用</w:t>
            </w:r>
          </w:p>
        </w:tc>
        <w:tc>
          <w:tcPr>
            <w:noWrap/>
            <w:tcW w:w="1157" w:type="dxa"/>
          </w:tcPr>
          <w:p>
            <w:bookmarkStart w:id="10227" w:name="YH_c282ade0_227"/>
            <w:r>
              <w:rPr>
                <w:rFonts w:ascii="Times New Roman" w:hAnsi="Times New Roman" w:eastAsia="宋体" w:cs="Times New Roman"/>
                <w:sz w:val="18"/>
              </w:rPr>
              <w:t xml:space="preserve">2.98</w:t>
            </w:r>
            <w:bookmarkEnd w:id="10227"/>
          </w:p>
        </w:tc>
        <w:tc>
          <w:tcPr>
            <w:noWrap/>
            <w:tcW w:w="833" w:type="dxa"/>
          </w:tcPr>
          <w:p>
            <w:bookmarkStart w:id="10228" w:name="YH_c282ade0_228"/>
            <w:r>
              <w:rPr>
                <w:rFonts w:ascii="Times New Roman" w:hAnsi="Times New Roman" w:eastAsia="宋体" w:cs="Times New Roman"/>
                <w:sz w:val="18"/>
              </w:rPr>
              <w:t xml:space="preserve">17.51%</w:t>
            </w:r>
            <w:bookmarkEnd w:id="10228"/>
          </w:p>
        </w:tc>
        <w:tc>
          <w:tcPr>
            <w:noWrap/>
            <w:tcW w:w="860" w:type="dxa"/>
          </w:tcPr>
          <w:p>
            <w:bookmarkStart w:id="10229" w:name="YH_c282ade0_22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-0.12</w:t>
            </w:r>
            <w:bookmarkEnd w:id="10229"/>
          </w:p>
        </w:tc>
        <w:tc>
          <w:tcPr>
            <w:noWrap/>
            <w:tcW w:w="833" w:type="dxa"/>
          </w:tcPr>
          <w:p>
            <w:bookmarkStart w:id="10230" w:name="YH_c282ade0_230"/>
            <w:r>
              <w:rPr>
                <w:rFonts w:ascii="Times New Roman" w:hAnsi="Times New Roman" w:eastAsia="宋体" w:cs="Times New Roman"/>
                <w:sz w:val="18"/>
              </w:rPr>
              <w:t xml:space="preserve">20.69%</w:t>
            </w:r>
            <w:bookmarkEnd w:id="10230"/>
          </w:p>
        </w:tc>
      </w:tr>
      <w:tr>
        <w:trPr>
          <w:cantSplit/>
        </w:trPr>
        <w:tc>
          <w:tcPr>
            <w:shd w:fill="F7F7F7"/>
            <w:tcW w:w="5282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232" w:name="YH_c282ade0_232"/>
            <w:r>
              <w:rPr>
                <w:rFonts w:ascii="Times New Roman" w:hAnsi="Times New Roman" w:eastAsia="宋体" w:cs="Times New Roman"/>
                <w:sz w:val="18"/>
              </w:rPr>
              <w:t xml:space="preserve">17.02</w:t>
            </w:r>
            <w:bookmarkEnd w:id="10232"/>
          </w:p>
        </w:tc>
        <w:tc>
          <w:tcPr>
            <w:shd w:fill="F7F7F7"/>
            <w:noWrap/>
            <w:tcW w:w="833" w:type="dxa"/>
          </w:tcPr>
          <w:p>
            <w:bookmarkStart w:id="10233" w:name="YH_c282ade0_233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3"/>
          </w:p>
        </w:tc>
        <w:tc>
          <w:tcPr>
            <w:shd w:fill="F7F7F7"/>
            <w:noWrap/>
            <w:tcW w:w="860" w:type="dxa"/>
          </w:tcPr>
          <w:p>
            <w:bookmarkStart w:id="10234" w:name="YH_c282ade0_23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-0.58</w:t>
            </w:r>
            <w:bookmarkEnd w:id="10234"/>
          </w:p>
        </w:tc>
        <w:tc>
          <w:tcPr>
            <w:shd w:fill="F7F7F7"/>
            <w:noWrap/>
            <w:tcW w:w="833" w:type="dxa"/>
          </w:tcPr>
          <w:p>
            <w:bookmarkStart w:id="10235" w:name="YH_c282ade0_235"/>
            <w:r>
              <w:rPr>
                <w:rFonts w:ascii="Times New Roman" w:hAnsi="Times New Roman" w:eastAsia="宋体" w:cs="Times New Roman"/>
                <w:sz w:val="18"/>
              </w:rPr>
              <w:t xml:space="preserve">100.00%</w:t>
            </w:r>
            <w:bookmarkEnd w:id="10235"/>
          </w:p>
        </w:tc>
      </w:tr>
    </w:tbl>
    <w:p>
      <w:pPr>
        <w:pageBreakBefore/>
        <w:snapToGrid w:val="0"/>
      </w:pPr>
    </w:p>
    <w:p>
      <w:bookmarkStart w:id="31004" w:name="YH_SEC_T4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三、成本要素明细分析</w:t>
      </w:r>
      <w:bookmarkEnd w:id="31004"/>
    </w:p>
    <w:p>
      <w:bookmarkStart w:id="31005" w:name="YH_SEC_T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3.1 直接材料分析</w:t>
      </w:r>
      <w:bookmarkEnd w:id="31005"/>
    </w:p>
    <w:p>
      <w:bookmarkStart w:id="31006" w:name="YH_SEC_6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3.1.1 原材料成本明细</w:t>
      </w:r>
      <w:bookmarkEnd w:id="31006"/>
    </w:p>
    <w:p>
      <w:bookmarkStart w:id="10240" w:name="YH_c282ade0_240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240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表3-1 原材料成本明细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30"/>
        <w:gridCol w:w="1615"/>
        <w:gridCol w:w="1905"/>
        <w:gridCol w:w="1902"/>
        <w:gridCol w:w="1498"/>
        <w:gridCol w:w="1615"/>
      </w:tblGrid>
      <w:tr>
        <w:trPr>
          <w:tblHeader/>
          <w:cantSplit/>
        </w:trPr>
        <w:tc>
          <w:tcPr>
            <w:vAlign w:val="center"/>
            <w:shd w:fill="D9D9D9"/>
            <w:tcW w:w="430" w:type="dxa"/>
          </w:tcPr>
          <w:p>
            <w:pPr>
              <w:jc w:val="center"/>
            </w:pPr>
            <w:bookmarkStart w:id="40000" w:name="YHU_TBL_0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0"/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原材料名称</w:t>
            </w:r>
          </w:p>
        </w:tc>
        <w:tc>
          <w:tcPr>
            <w:vAlign w:val="center"/>
            <w:shd w:fill="D9D9D9"/>
            <w:tcW w:w="19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本期单位耗用成本(元/盒)</w:t>
            </w:r>
          </w:p>
        </w:tc>
        <w:tc>
          <w:tcPr>
            <w:vAlign w:val="center"/>
            <w:shd w:fill="D9D9D9"/>
            <w:tcW w:w="19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上期品种单位成本(元/盒)</w:t>
            </w:r>
          </w:p>
        </w:tc>
        <w:tc>
          <w:tcPr>
            <w:vAlign w:val="center"/>
            <w:shd w:fill="D9D9D9"/>
            <w:tcW w:w="149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环比变动（品种级）</w:t>
            </w:r>
          </w:p>
        </w:tc>
        <w:tc>
          <w:tcPr>
            <w:vAlign w:val="center"/>
            <w:shd w:fill="D9D9D9"/>
            <w:tcW w:w="16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变动原因初步判断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熟地黄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3.45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3.55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-2.82%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27.78%（品种级），优先核查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山茱萸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2.75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2.85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-3.51%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27.78%（品种级），优先核查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山药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1.48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1.52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-2.63%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11.11%（品种级），优先核查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泽泻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0.84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0.86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-2.33%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茯苓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1.18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1.22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-3.28%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11.11%（品种级），优先核查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牡丹皮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1.03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1.06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-2.83%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8.33%（品种级），优先核查</w:t>
            </w:r>
          </w:p>
        </w:tc>
      </w:tr>
      <w:tr>
        <w:trPr>
          <w:cantSplit/>
        </w:trPr>
        <w:tc>
          <w:tcPr>
            <w:vAlign w:val="center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7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空心胶囊</w:t>
            </w:r>
          </w:p>
        </w:tc>
        <w:tc>
          <w:tcPr>
            <w:vAlign w:val="center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0.37</w:t>
            </w:r>
          </w:p>
        </w:tc>
        <w:tc>
          <w:tcPr>
            <w:vAlign w:val="center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0.38</w:t>
            </w:r>
          </w:p>
        </w:tc>
        <w:tc>
          <w:tcPr>
            <w:vAlign w:val="center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-2.63%</w:t>
            </w:r>
          </w:p>
        </w:tc>
        <w:tc>
          <w:tcPr>
            <w:vAlign w:val="center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2.78%（品种级），优先核查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3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包装材料(PVC+铝箔+纸盒)</w:t>
            </w:r>
          </w:p>
        </w:tc>
        <w:tc>
          <w:tcPr>
            <w:vAlign w:val="center"/>
            <w:shd w:fill="F7F7F7"/>
            <w:noWrap/>
            <w:tcW w:w="19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0.89</w:t>
            </w:r>
          </w:p>
        </w:tc>
        <w:tc>
          <w:tcPr>
            <w:vAlign w:val="center"/>
            <w:shd w:fill="F7F7F7"/>
            <w:noWrap/>
            <w:tcW w:w="19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0.91</w:t>
            </w:r>
          </w:p>
        </w:tc>
        <w:tc>
          <w:tcPr>
            <w:vAlign w:val="center"/>
            <w:shd w:fill="F7F7F7"/>
            <w:noWrap/>
            <w:tcW w:w="149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-2.20%</w:t>
            </w:r>
          </w:p>
        </w:tc>
        <w:tc>
          <w:tcPr>
            <w:vAlign w:val="center"/>
            <w:shd w:fill="F7F7F7"/>
            <w:tcW w:w="16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贡献材料变动 5.56%（品种级），优先核查</w:t>
            </w:r>
          </w:p>
        </w:tc>
      </w:tr>
    </w:tbl>
    <w:p>
      <w:pPr>
        <w:spacing w:line="360" w:lineRule="auto"/>
        <w:ind w:firstLine="420"/>
        <w:rPr>
          <w:sz w:val="15"/>
        </w:rPr>
        <w:snapToGrid w:val="0"/>
      </w:pPr>
      <w:r>
        <w:rPr>
          <w:rFonts w:ascii="Times New Roman" w:hAnsi="Times New Roman" w:eastAsia="宋体" w:cs="Times New Roman"/>
        </w:rPr>
        <w:t xml:space="preserve">注：本期列来自所选期间的原料明细；上期列、环比与贡献占比按品种聚合。单位耗用成本不等同采购单价，批次价格与用量见原始明细。</w:t>
      </w:r>
    </w:p>
    <w:p>
      <w:bookmarkStart w:id="31007" w:name="YH_SEC_7"/>
      <w:pPr>
        <w:pStyle w:val="Heading3"/>
        <w:spacing w:line="360" w:lineRule="auto"/>
        <w:outlineLvl w:val="3"/>
      </w:pPr>
      <w:r>
        <w:rPr>
          <w:rFonts w:ascii="Times New Roman" w:hAnsi="Times New Roman" w:eastAsia="黑体" w:cs="Times New Roman"/>
          <w:b/>
          <w:color w:val="000000"/>
          <w:sz w:val="24"/>
        </w:rPr>
        <w:t>3.1.2 材料成本变动归因</w:t>
      </w:r>
      <w:bookmarkEnd w:id="31007"/>
    </w:p>
    <w:p>
      <w:bookmarkStart w:id="10242" w:name="YH_c282ade0_242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直接材料每盒 11.99 元，比上期变动 -0.36 元，占单位成本变动的 62.07%。</w:t>
        <w:br/>
        <w:t xml:space="preserve">山茱萸：2.85 → 2.75 元/盒，变动 -0.10 元/盒，占材料增量 27.78%；熟地黄：3.55 → 3.45 元/盒，变动 -0.10 元/盒，占材料增量 27.78%；山药：1.52 → 1.48 元/盒，变动 -0.04 元/盒，占材料增量 11.11%；茯苓：1.22 → 1.18 元/盒，变动 -0.04 元/盒，占材料增量 11.11%。 单位消耗成本同时受价格和实耗影响；需采购入库单、批次领退料及合格产出记录，才能分别核验价格与耗量。</w:t>
        <w:br/>
        <w:t xml:space="preserve">山茱萸的市场行情与本期材料单位成本变动方向一致，可能通过采购价格传导到每盒材料成本；尚不能排除耗用变化的影响，可能性排序高于单耗变化。若采购价为长协价则行情传导会被截断，需核对合同定价方式。行情依据见引文。</w:t>
      </w:r>
      <w:bookmarkEnd w:id="10242"/>
    </w:p>
    <w:p>
      <w:bookmarkStart w:id="31008" w:name="YH_SEC_T6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3.2 直接人工分析</w:t>
      </w:r>
      <w:bookmarkEnd w:id="31008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表3-2 直接人工分析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5216"/>
        <w:gridCol w:w="734"/>
        <w:gridCol w:w="734"/>
        <w:gridCol w:w="833"/>
        <w:gridCol w:w="1448"/>
      </w:tblGrid>
      <w:tr>
        <w:trPr>
          <w:tblHeader/>
          <w:cantSplit/>
        </w:trPr>
        <w:tc>
          <w:tcPr>
            <w:shd w:fill="D9D9D9"/>
            <w:tcW w:w="521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指标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</w:t>
            </w:r>
          </w:p>
        </w:tc>
        <w:tc>
          <w:tcPr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</w:t>
            </w:r>
          </w:p>
        </w:tc>
        <w:tc>
          <w:tcPr>
            <w:shd w:fill="D9D9D9"/>
            <w:tcW w:w="83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</w:t>
            </w:r>
          </w:p>
        </w:tc>
        <w:tc>
          <w:tcPr>
            <w:shd w:fill="D9D9D9"/>
            <w:tcW w:w="14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单位人工成本(元/盒)</w:t>
            </w:r>
          </w:p>
        </w:tc>
        <w:tc>
          <w:tcPr>
            <w:noWrap/>
            <w:tcW w:w="734" w:type="dxa"/>
          </w:tcPr>
          <w:p>
            <w:bookmarkStart w:id="10250" w:name="YH_c282ade0_250"/>
            <w:r>
              <w:rPr>
                <w:rFonts w:ascii="Times New Roman" w:hAnsi="Times New Roman" w:eastAsia="宋体" w:cs="Times New Roman"/>
                <w:sz w:val="18"/>
              </w:rPr>
              <w:t xml:space="preserve">2.05</w:t>
            </w:r>
            <w:bookmarkEnd w:id="10250"/>
          </w:p>
        </w:tc>
        <w:tc>
          <w:tcPr>
            <w:noWrap/>
            <w:tcW w:w="734" w:type="dxa"/>
          </w:tcPr>
          <w:p>
            <w:bookmarkStart w:id="10251" w:name="YH_c282ade0_251"/>
            <w:r>
              <w:rPr>
                <w:rFonts w:ascii="Times New Roman" w:hAnsi="Times New Roman" w:eastAsia="宋体" w:cs="Times New Roman"/>
                <w:sz w:val="18"/>
              </w:rPr>
              <w:t xml:space="preserve">2.15</w:t>
            </w:r>
            <w:bookmarkEnd w:id="10251"/>
          </w:p>
        </w:tc>
        <w:tc>
          <w:tcPr>
            <w:noWrap/>
            <w:tcW w:w="833" w:type="dxa"/>
          </w:tcPr>
          <w:p>
            <w:bookmarkStart w:id="10252" w:name="YH_c282ade0_25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-4.65%</w:t>
            </w:r>
            <w:bookmarkEnd w:id="1025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人工工时(h/万盒)</w:t>
            </w:r>
          </w:p>
        </w:tc>
        <w:tc>
          <w:tcPr>
            <w:shd w:fill="F7F7F7"/>
            <w:noWrap/>
            <w:tcW w:w="734" w:type="dxa"/>
          </w:tcPr>
          <w:p>
            <w:bookmarkStart w:id="10255" w:name="YH_c282ade0_255"/>
            <w:r>
              <w:rPr>
                <w:rFonts w:ascii="Times New Roman" w:hAnsi="Times New Roman" w:eastAsia="宋体" w:cs="Times New Roman"/>
                <w:sz w:val="18"/>
              </w:rPr>
              <w:t xml:space="preserve">603.43</w:t>
            </w:r>
            <w:bookmarkEnd w:id="10255"/>
          </w:p>
        </w:tc>
        <w:tc>
          <w:tcPr>
            <w:shd w:fill="F7F7F7"/>
            <w:noWrap/>
            <w:tcW w:w="734" w:type="dxa"/>
          </w:tcPr>
          <w:p>
            <w:bookmarkStart w:id="10256" w:name="YH_c282ade0_256"/>
            <w:r>
              <w:rPr>
                <w:rFonts w:ascii="Times New Roman" w:hAnsi="Times New Roman" w:eastAsia="宋体" w:cs="Times New Roman"/>
                <w:sz w:val="18"/>
              </w:rPr>
              <w:t xml:space="preserve">548.57</w:t>
            </w:r>
            <w:bookmarkEnd w:id="10256"/>
          </w:p>
        </w:tc>
        <w:tc>
          <w:tcPr>
            <w:shd w:fill="F7F7F7"/>
            <w:noWrap/>
            <w:tcW w:w="833" w:type="dxa"/>
          </w:tcPr>
          <w:p>
            <w:bookmarkStart w:id="10257" w:name="YH_c282ade0_257"/>
            <w:r>
              <w:rPr>
                <w:rFonts w:ascii="Times New Roman" w:hAnsi="Times New Roman" w:eastAsia="宋体" w:cs="Times New Roman"/>
                <w:sz w:val="18"/>
              </w:rPr>
              <w:t xml:space="preserve">10.00%</w:t>
            </w:r>
            <w:bookmarkEnd w:id="1025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平均小时工资(元/h)</w:t>
            </w:r>
          </w:p>
        </w:tc>
        <w:tc>
          <w:tcPr>
            <w:noWrap/>
            <w:tcW w:w="734" w:type="dxa"/>
          </w:tcPr>
          <w:p>
            <w:bookmarkStart w:id="10260" w:name="YH_c282ade0_260"/>
            <w:r>
              <w:rPr>
                <w:rFonts w:ascii="Times New Roman" w:hAnsi="Times New Roman" w:eastAsia="宋体" w:cs="Times New Roman"/>
                <w:sz w:val="18"/>
              </w:rPr>
              <w:t xml:space="preserve">33.97</w:t>
            </w:r>
            <w:bookmarkEnd w:id="10260"/>
          </w:p>
        </w:tc>
        <w:tc>
          <w:tcPr>
            <w:noWrap/>
            <w:tcW w:w="734" w:type="dxa"/>
          </w:tcPr>
          <w:p>
            <w:bookmarkStart w:id="10261" w:name="YH_c282ade0_261"/>
            <w:r>
              <w:rPr>
                <w:rFonts w:ascii="Times New Roman" w:hAnsi="Times New Roman" w:eastAsia="宋体" w:cs="Times New Roman"/>
                <w:sz w:val="18"/>
              </w:rPr>
              <w:t xml:space="preserve">39.19</w:t>
            </w:r>
            <w:bookmarkEnd w:id="10261"/>
          </w:p>
        </w:tc>
        <w:tc>
          <w:tcPr>
            <w:noWrap/>
            <w:tcW w:w="833" w:type="dxa"/>
          </w:tcPr>
          <w:p>
            <w:bookmarkStart w:id="10262" w:name="YH_c282ade0_262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-13.32%</w:t>
            </w:r>
            <w:bookmarkEnd w:id="10262"/>
          </w:p>
        </w:tc>
        <w:tc>
          <w:tcPr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  <w:tr>
        <w:trPr>
          <w:cantSplit/>
        </w:trPr>
        <w:tc>
          <w:tcPr>
            <w:shd w:fill="F7F7F7"/>
            <w:tcW w:w="5216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人工效率(盒/人·日)</w:t>
            </w:r>
          </w:p>
        </w:tc>
        <w:tc>
          <w:tcPr>
            <w:shd w:fill="F7F7F7"/>
            <w:noWrap/>
            <w:tcW w:w="734" w:type="dxa"/>
          </w:tcPr>
          <w:p>
            <w:bookmarkStart w:id="10265" w:name="YH_c282ade0_265"/>
            <w:r>
              <w:rPr>
                <w:rFonts w:ascii="Times New Roman" w:hAnsi="Times New Roman" w:eastAsia="宋体" w:cs="Times New Roman"/>
                <w:sz w:val="18"/>
              </w:rPr>
              <w:t xml:space="preserve">132.58</w:t>
            </w:r>
            <w:bookmarkEnd w:id="10265"/>
          </w:p>
        </w:tc>
        <w:tc>
          <w:tcPr>
            <w:shd w:fill="F7F7F7"/>
            <w:noWrap/>
            <w:tcW w:w="734" w:type="dxa"/>
          </w:tcPr>
          <w:p>
            <w:bookmarkStart w:id="10266" w:name="YH_c282ade0_266"/>
            <w:r>
              <w:rPr>
                <w:rFonts w:ascii="Times New Roman" w:hAnsi="Times New Roman" w:eastAsia="宋体" w:cs="Times New Roman"/>
                <w:sz w:val="18"/>
              </w:rPr>
              <w:t xml:space="preserve">145.83</w:t>
            </w:r>
            <w:bookmarkEnd w:id="10266"/>
          </w:p>
        </w:tc>
        <w:tc>
          <w:tcPr>
            <w:shd w:fill="F7F7F7"/>
            <w:noWrap/>
            <w:tcW w:w="833" w:type="dxa"/>
          </w:tcPr>
          <w:p>
            <w:bookmarkStart w:id="10267" w:name="YH_c282ade0_267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-9.09%</w:t>
            </w:r>
            <w:bookmarkEnd w:id="10267"/>
          </w:p>
        </w:tc>
        <w:tc>
          <w:tcPr>
            <w:shd w:fill="F7F7F7"/>
            <w:tcW w:w="1448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直接人工每盒 2.05 元，比上期变动 -0.10 元，占单位成本环比变动 17.24%。平均小时工资是题包折算口径。每盒人工费用受工时、人员组成及加班影响；需核对工时台账、工资组成与返工记录，不能认定基础薪率上涨。</w:t>
      </w:r>
    </w:p>
    <w:p>
      <w:bookmarkStart w:id="31009" w:name="YH_SEC_T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3.3 制造费用分析</w:t>
      </w:r>
      <w:bookmarkEnd w:id="3100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表3-3 制造费用分析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551"/>
        <w:gridCol w:w="1157"/>
        <w:gridCol w:w="1157"/>
        <w:gridCol w:w="860"/>
        <w:gridCol w:w="3240"/>
      </w:tblGrid>
      <w:tr>
        <w:trPr>
          <w:tblHeader/>
          <w:cantSplit/>
        </w:trPr>
        <w:tc>
          <w:tcPr>
            <w:shd w:fill="D9D9D9"/>
            <w:tcW w:w="255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费用类别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本月(元/盒)</w:t>
            </w:r>
          </w:p>
        </w:tc>
        <w:tc>
          <w:tcPr>
            <w:shd w:fill="D9D9D9"/>
            <w:tcW w:w="115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上月(元/盒)</w:t>
            </w:r>
          </w:p>
        </w:tc>
        <w:tc>
          <w:tcPr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  <w:tc>
          <w:tcPr>
            <w:shd w:fill="D9D9D9"/>
            <w:tcW w:w="32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变动说明</w:t>
            </w:r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折旧费</w:t>
            </w:r>
          </w:p>
        </w:tc>
        <w:tc>
          <w:tcPr>
            <w:noWrap/>
            <w:tcW w:w="1157" w:type="dxa"/>
          </w:tcPr>
          <w:p>
            <w:bookmarkStart w:id="10277" w:name="YH_c282ade0_277"/>
            <w:r>
              <w:rPr>
                <w:rFonts w:ascii="Times New Roman" w:hAnsi="Times New Roman" w:eastAsia="宋体" w:cs="Times New Roman"/>
                <w:sz w:val="18"/>
              </w:rPr>
              <w:t xml:space="preserve">1.02</w:t>
            </w:r>
            <w:bookmarkEnd w:id="10277"/>
          </w:p>
        </w:tc>
        <w:tc>
          <w:tcPr>
            <w:noWrap/>
            <w:tcW w:w="1157" w:type="dxa"/>
          </w:tcPr>
          <w:p>
            <w:bookmarkStart w:id="10278" w:name="YH_c282ade0_278"/>
            <w:r>
              <w:rPr>
                <w:rFonts w:ascii="Times New Roman" w:hAnsi="Times New Roman" w:eastAsia="宋体" w:cs="Times New Roman"/>
                <w:sz w:val="18"/>
              </w:rPr>
              <w:t xml:space="preserve">1.07</w:t>
            </w:r>
            <w:bookmarkEnd w:id="10278"/>
          </w:p>
        </w:tc>
        <w:tc>
          <w:tcPr>
            <w:noWrap/>
            <w:tcW w:w="860" w:type="dxa"/>
          </w:tcPr>
          <w:p>
            <w:bookmarkStart w:id="10279" w:name="YH_c282ade0_27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-4.67%</w:t>
            </w:r>
            <w:bookmarkEnd w:id="10279"/>
          </w:p>
        </w:tc>
        <w:tc>
          <w:tcPr>
            <w:tcW w:w="3240" w:type="dxa"/>
          </w:tcPr>
          <w:p>
            <w:bookmarkStart w:id="10280" w:name="YH_c282ade0_280"/>
            <w:r>
              <w:rPr>
                <w:rFonts w:ascii="Times New Roman" w:hAnsi="Times New Roman" w:eastAsia="宋体" w:cs="Times New Roman"/>
                <w:sz w:val="18"/>
              </w:rPr>
              <w:t xml:space="preserve">折旧费变动需核对费用台账及分摊依据</w:t>
            </w:r>
            <w:bookmarkEnd w:id="1028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动力费(水电气)</w:t>
            </w:r>
          </w:p>
        </w:tc>
        <w:tc>
          <w:tcPr>
            <w:shd w:fill="F7F7F7"/>
            <w:noWrap/>
            <w:tcW w:w="1157" w:type="dxa"/>
          </w:tcPr>
          <w:p>
            <w:bookmarkStart w:id="10282" w:name="YH_c282ade0_282"/>
            <w:r>
              <w:rPr>
                <w:rFonts w:ascii="Times New Roman" w:hAnsi="Times New Roman" w:eastAsia="宋体" w:cs="Times New Roman"/>
                <w:sz w:val="18"/>
              </w:rPr>
              <w:t xml:space="preserve">0.70</w:t>
            </w:r>
            <w:bookmarkEnd w:id="10282"/>
          </w:p>
        </w:tc>
        <w:tc>
          <w:tcPr>
            <w:shd w:fill="F7F7F7"/>
            <w:noWrap/>
            <w:tcW w:w="1157" w:type="dxa"/>
          </w:tcPr>
          <w:p>
            <w:bookmarkStart w:id="10283" w:name="YH_c282ade0_283"/>
            <w:r>
              <w:rPr>
                <w:rFonts w:ascii="Times New Roman" w:hAnsi="Times New Roman" w:eastAsia="宋体" w:cs="Times New Roman"/>
                <w:sz w:val="18"/>
              </w:rPr>
              <w:t xml:space="preserve">0.74</w:t>
            </w:r>
            <w:bookmarkEnd w:id="10283"/>
          </w:p>
        </w:tc>
        <w:tc>
          <w:tcPr>
            <w:shd w:fill="F7F7F7"/>
            <w:noWrap/>
            <w:tcW w:w="860" w:type="dxa"/>
          </w:tcPr>
          <w:p>
            <w:bookmarkStart w:id="10284" w:name="YH_c282ade0_28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-5.41%</w:t>
            </w:r>
            <w:bookmarkEnd w:id="10284"/>
          </w:p>
        </w:tc>
        <w:tc>
          <w:tcPr>
            <w:shd w:fill="F7F7F7"/>
            <w:tcW w:w="3240" w:type="dxa"/>
          </w:tcPr>
          <w:p>
            <w:bookmarkStart w:id="10285" w:name="YH_c282ade0_285"/>
            <w:r>
              <w:rPr>
                <w:rFonts w:ascii="Times New Roman" w:hAnsi="Times New Roman" w:eastAsia="宋体" w:cs="Times New Roman"/>
                <w:sz w:val="18"/>
              </w:rPr>
              <w:t xml:space="preserve">动力费(水电气)变动需核对费用台账及分摊依据</w:t>
            </w:r>
            <w:bookmarkEnd w:id="1028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间接人工</w:t>
            </w:r>
          </w:p>
        </w:tc>
        <w:tc>
          <w:tcPr>
            <w:noWrap/>
            <w:tcW w:w="1157" w:type="dxa"/>
          </w:tcPr>
          <w:p>
            <w:bookmarkStart w:id="10287" w:name="YH_c282ade0_287"/>
            <w:r>
              <w:rPr>
                <w:rFonts w:ascii="Times New Roman" w:hAnsi="Times New Roman" w:eastAsia="宋体" w:cs="Times New Roman"/>
                <w:sz w:val="18"/>
              </w:rPr>
              <w:t xml:space="preserve">0.57</w:t>
            </w:r>
            <w:bookmarkEnd w:id="10287"/>
          </w:p>
        </w:tc>
        <w:tc>
          <w:tcPr>
            <w:noWrap/>
            <w:tcW w:w="1157" w:type="dxa"/>
          </w:tcPr>
          <w:p>
            <w:bookmarkStart w:id="10288" w:name="YH_c282ade0_288"/>
            <w:r>
              <w:rPr>
                <w:rFonts w:ascii="Times New Roman" w:hAnsi="Times New Roman" w:eastAsia="宋体" w:cs="Times New Roman"/>
                <w:sz w:val="18"/>
              </w:rPr>
              <w:t xml:space="preserve">0.59</w:t>
            </w:r>
            <w:bookmarkEnd w:id="10288"/>
          </w:p>
        </w:tc>
        <w:tc>
          <w:tcPr>
            <w:noWrap/>
            <w:tcW w:w="860" w:type="dxa"/>
          </w:tcPr>
          <w:p>
            <w:bookmarkStart w:id="10289" w:name="YH_c282ade0_289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-3.39%</w:t>
            </w:r>
            <w:bookmarkEnd w:id="10289"/>
          </w:p>
        </w:tc>
        <w:tc>
          <w:tcPr>
            <w:tcW w:w="3240" w:type="dxa"/>
          </w:tcPr>
          <w:p>
            <w:bookmarkStart w:id="10290" w:name="YH_c282ade0_290"/>
            <w:r>
              <w:rPr>
                <w:rFonts w:ascii="Times New Roman" w:hAnsi="Times New Roman" w:eastAsia="宋体" w:cs="Times New Roman"/>
                <w:sz w:val="18"/>
              </w:rPr>
              <w:t xml:space="preserve">人工(间接)变动需核对费用台账及分摊依据</w:t>
            </w:r>
            <w:bookmarkEnd w:id="1029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检验费</w:t>
            </w:r>
          </w:p>
        </w:tc>
        <w:tc>
          <w:tcPr>
            <w:shd w:fill="F7F7F7"/>
            <w:noWrap/>
            <w:tcW w:w="1157" w:type="dxa"/>
          </w:tcPr>
          <w:p>
            <w:bookmarkStart w:id="10292" w:name="YH_c282ade0_292"/>
            <w:r>
              <w:rPr>
                <w:rFonts w:ascii="Times New Roman" w:hAnsi="Times New Roman" w:eastAsia="宋体" w:cs="Times New Roman"/>
                <w:sz w:val="18"/>
              </w:rPr>
              <w:t xml:space="preserve">0.34</w:t>
            </w:r>
            <w:bookmarkEnd w:id="10292"/>
          </w:p>
        </w:tc>
        <w:tc>
          <w:tcPr>
            <w:shd w:fill="F7F7F7"/>
            <w:noWrap/>
            <w:tcW w:w="1157" w:type="dxa"/>
          </w:tcPr>
          <w:p>
            <w:bookmarkStart w:id="10293" w:name="YH_c282ade0_293"/>
            <w:r>
              <w:rPr>
                <w:rFonts w:ascii="Times New Roman" w:hAnsi="Times New Roman" w:eastAsia="宋体" w:cs="Times New Roman"/>
                <w:sz w:val="18"/>
              </w:rPr>
              <w:t xml:space="preserve">0.35</w:t>
            </w:r>
            <w:bookmarkEnd w:id="10293"/>
          </w:p>
        </w:tc>
        <w:tc>
          <w:tcPr>
            <w:shd w:fill="F7F7F7"/>
            <w:noWrap/>
            <w:tcW w:w="860" w:type="dxa"/>
          </w:tcPr>
          <w:p>
            <w:bookmarkStart w:id="10294" w:name="YH_c282ade0_29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-2.86%</w:t>
            </w:r>
            <w:bookmarkEnd w:id="10294"/>
          </w:p>
        </w:tc>
        <w:tc>
          <w:tcPr>
            <w:shd w:fill="F7F7F7"/>
            <w:tcW w:w="3240" w:type="dxa"/>
          </w:tcPr>
          <w:p>
            <w:bookmarkStart w:id="10295" w:name="YH_c282ade0_295"/>
            <w:r>
              <w:rPr>
                <w:rFonts w:ascii="Times New Roman" w:hAnsi="Times New Roman" w:eastAsia="宋体" w:cs="Times New Roman"/>
                <w:sz w:val="18"/>
              </w:rPr>
              <w:t xml:space="preserve">检验费变动需核对费用台账及分摊依据</w:t>
            </w:r>
            <w:bookmarkEnd w:id="10295"/>
          </w:p>
        </w:tc>
      </w:tr>
      <w:tr>
        <w:trPr>
          <w:cantSplit/>
        </w:trPr>
        <w:tc>
          <w:tcPr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其他制造费用</w:t>
            </w:r>
          </w:p>
        </w:tc>
        <w:tc>
          <w:tcPr>
            <w:noWrap/>
            <w:tcW w:w="1157" w:type="dxa"/>
          </w:tcPr>
          <w:p>
            <w:bookmarkStart w:id="10297" w:name="YH_c282ade0_297"/>
            <w:r>
              <w:rPr>
                <w:rFonts w:ascii="Times New Roman" w:hAnsi="Times New Roman" w:eastAsia="宋体" w:cs="Times New Roman"/>
                <w:sz w:val="18"/>
              </w:rPr>
              <w:t xml:space="preserve">0.35</w:t>
            </w:r>
            <w:bookmarkEnd w:id="10297"/>
          </w:p>
        </w:tc>
        <w:tc>
          <w:tcPr>
            <w:noWrap/>
            <w:tcW w:w="1157" w:type="dxa"/>
          </w:tcPr>
          <w:p>
            <w:bookmarkStart w:id="10298" w:name="YH_c282ade0_298"/>
            <w:r>
              <w:rPr>
                <w:rFonts w:ascii="Times New Roman" w:hAnsi="Times New Roman" w:eastAsia="宋体" w:cs="Times New Roman"/>
                <w:sz w:val="18"/>
              </w:rPr>
              <w:t xml:space="preserve">0.35</w:t>
            </w:r>
            <w:bookmarkEnd w:id="10298"/>
          </w:p>
        </w:tc>
        <w:tc>
          <w:tcPr>
            <w:noWrap/>
            <w:tcW w:w="860" w:type="dxa"/>
          </w:tcPr>
          <w:p>
            <w:bookmarkStart w:id="10299" w:name="YH_c282ade0_299"/>
            <w:r>
              <w:rPr>
                <w:rFonts w:ascii="Times New Roman" w:hAnsi="Times New Roman" w:eastAsia="宋体" w:cs="Times New Roman"/>
                <w:sz w:val="18"/>
              </w:rPr>
              <w:t xml:space="preserve">0.00%</w:t>
            </w:r>
            <w:bookmarkEnd w:id="10299"/>
          </w:p>
        </w:tc>
        <w:tc>
          <w:tcPr>
            <w:tcW w:w="3240" w:type="dxa"/>
          </w:tcPr>
          <w:p>
            <w:bookmarkStart w:id="10300" w:name="YH_c282ade0_300"/>
            <w:r>
              <w:rPr>
                <w:rFonts w:ascii="Times New Roman" w:hAnsi="Times New Roman" w:eastAsia="宋体" w:cs="Times New Roman"/>
                <w:sz w:val="18"/>
              </w:rPr>
              <w:t xml:space="preserve">其他制造费用变动需核对费用台账及分摊依据</w:t>
            </w:r>
            <w:bookmarkEnd w:id="10300"/>
          </w:p>
        </w:tc>
      </w:tr>
      <w:tr>
        <w:trPr>
          <w:cantSplit/>
        </w:trPr>
        <w:tc>
          <w:tcPr>
            <w:shd w:fill="F7F7F7"/>
            <w:tcW w:w="2551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合计</w:t>
            </w:r>
          </w:p>
        </w:tc>
        <w:tc>
          <w:tcPr>
            <w:shd w:fill="F7F7F7"/>
            <w:noWrap/>
            <w:tcW w:w="1157" w:type="dxa"/>
          </w:tcPr>
          <w:p>
            <w:bookmarkStart w:id="10302" w:name="YH_c282ade0_302"/>
            <w:r>
              <w:rPr>
                <w:rFonts w:ascii="Times New Roman" w:hAnsi="Times New Roman" w:eastAsia="宋体" w:cs="Times New Roman"/>
                <w:sz w:val="18"/>
              </w:rPr>
              <w:t xml:space="preserve">2.98</w:t>
            </w:r>
            <w:bookmarkEnd w:id="10302"/>
          </w:p>
        </w:tc>
        <w:tc>
          <w:tcPr>
            <w:shd w:fill="F7F7F7"/>
            <w:noWrap/>
            <w:tcW w:w="1157" w:type="dxa"/>
          </w:tcPr>
          <w:p>
            <w:bookmarkStart w:id="10303" w:name="YH_c282ade0_303"/>
            <w:r>
              <w:rPr>
                <w:rFonts w:ascii="Times New Roman" w:hAnsi="Times New Roman" w:eastAsia="宋体" w:cs="Times New Roman"/>
                <w:sz w:val="18"/>
              </w:rPr>
              <w:t xml:space="preserve">3.10</w:t>
            </w:r>
            <w:bookmarkEnd w:id="10303"/>
          </w:p>
        </w:tc>
        <w:tc>
          <w:tcPr>
            <w:shd w:fill="F7F7F7"/>
            <w:noWrap/>
            <w:tcW w:w="860" w:type="dxa"/>
          </w:tcPr>
          <w:p>
            <w:bookmarkStart w:id="10304" w:name="YH_c282ade0_304"/>
            <w:r>
              <w:rPr>
                <w:rFonts w:ascii="Times New Roman" w:hAnsi="Times New Roman" w:eastAsia="宋体" w:cs="Times New Roman"/>
                <w:color w:val="008000"/>
                <w:sz w:val="18"/>
              </w:rPr>
              <w:t xml:space="preserve">-3.87%</w:t>
            </w:r>
            <w:bookmarkEnd w:id="10304"/>
          </w:p>
        </w:tc>
        <w:tc>
          <w:tcPr>
            <w:shd w:fill="F7F7F7"/>
            <w:tcW w:w="3240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—</w:t>
            </w:r>
          </w:p>
        </w:tc>
      </w:tr>
    </w:tbl>
    <w:p>
      <w:pPr>
        <w:snapToGrid w:val="0"/>
      </w:pP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制造费用每盒 2.98 元，比上期变动 -0.12 元，占单位成本环比变动 20.69%。按费用台账和分配基数检查变化。维修事件只有在产品、期间及入账范围一致时才用于本期解释；不得将维修金额重复计入总成本。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维修记录中的计量盘磨损可能引起装量偏差，进而影响材料损耗、返工工时和设备停工。事件中的局部产出损失不等于本月净减产；月度单位成本与总成本仍按汇总数据分别判断。需核对受影响批次与成本归集，维修费不得再次追加到汇总成本。</w:t>
      </w:r>
    </w:p>
    <w:p>
      <w:bookmarkStart w:id="31010" w:name="YH_SEC_T8"/>
      <w:bookmarkStart w:id="10307" w:name="YH_c282ade0_307"/>
      <w:pPr>
        <w:pStyle w:val="2"/>
        <w:pageBreakBefore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 xml:space="preserve">四、重点产品专项分析 — 六味地黄胶囊</w:t>
      </w:r>
      <w:bookmarkEnd w:id="10307"/>
      <w:bookmarkEnd w:id="31010"/>
    </w:p>
    <w:p>
      <w:bookmarkStart w:id="31011" w:name="YH_SEC_T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4.1 近6个月单位成本趋势</w:t>
      </w:r>
      <w:bookmarkEnd w:id="31011"/>
    </w:p>
    <w:p>
      <w:bookmarkStart w:id="10309" w:name="YH_c282ade0_30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09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75310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en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7531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图4-1 单位成本趋势（纵轴范围见刻度）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表4-1 近6个月成本趋势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205"/>
        <w:gridCol w:w="837"/>
        <w:gridCol w:w="1440"/>
        <w:gridCol w:w="1440"/>
        <w:gridCol w:w="1781"/>
        <w:gridCol w:w="1440"/>
        <w:gridCol w:w="820"/>
      </w:tblGrid>
      <w:tr>
        <w:trPr>
          <w:tblHeader/>
          <w:cantSplit/>
        </w:trPr>
        <w:tc>
          <w:tcPr>
            <w:vAlign w:val="center"/>
            <w:shd w:fill="D9D9D9"/>
            <w:tcW w:w="1205" w:type="dxa"/>
          </w:tcPr>
          <w:p>
            <w:pPr>
              <w:jc w:val="center"/>
            </w:pPr>
            <w:bookmarkStart w:id="40001" w:name="YHU_TBL_1"/>
            <w:r>
              <w:rPr>
                <w:rFonts w:ascii="Times New Roman" w:hAnsi="Times New Roman" w:eastAsia="宋体" w:cs="Times New Roman"/>
                <w:b/>
                <w:sz w:val="18"/>
              </w:rPr>
              <w:t>月份</w:t>
            </w:r>
            <w:bookmarkEnd w:id="40001"/>
          </w:p>
        </w:tc>
        <w:tc>
          <w:tcPr>
            <w:vAlign w:val="center"/>
            <w:shd w:fill="D9D9D9"/>
            <w:tcW w:w="83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产量(盒)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单位材料(元/盒)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单位人工(元/盒)</w:t>
            </w:r>
          </w:p>
        </w:tc>
        <w:tc>
          <w:tcPr>
            <w:vAlign w:val="center"/>
            <w:shd w:fill="D9D9D9"/>
            <w:tcW w:w="178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单位制造费用(元/盒)</w:t>
            </w:r>
          </w:p>
        </w:tc>
        <w:tc>
          <w:tcPr>
            <w:vAlign w:val="center"/>
            <w:shd w:fill="D9D9D9"/>
            <w:tcW w:w="144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单位成本(元/盒)</w:t>
            </w:r>
          </w:p>
        </w:tc>
        <w:tc>
          <w:tcPr>
            <w:vAlign w:val="center"/>
            <w:shd w:fill="D9D9D9"/>
            <w:tcW w:w="82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环比变动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2026-01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12.18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2.10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3.05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17.33</w:t>
            </w:r>
          </w:p>
        </w:tc>
        <w:tc>
          <w:tcPr>
            <w:vAlign w:val="center"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—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2026-02</w:t>
            </w:r>
          </w:p>
        </w:tc>
        <w:tc>
          <w:tcPr>
            <w:vAlign w:val="center"/>
            <w:shd w:fill="F7F7F7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28000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12.35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2.15</w:t>
            </w:r>
          </w:p>
        </w:tc>
        <w:tc>
          <w:tcPr>
            <w:vAlign w:val="center"/>
            <w:shd w:fill="F7F7F7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3.10</w:t>
            </w:r>
          </w:p>
        </w:tc>
        <w:tc>
          <w:tcPr>
            <w:vAlign w:val="center"/>
            <w:shd w:fill="F7F7F7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17.60</w:t>
            </w:r>
          </w:p>
        </w:tc>
        <w:tc>
          <w:tcPr>
            <w:vAlign w:val="center"/>
            <w:shd w:fill="F7F7F7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C00000"/>
                <w:sz w:val="17"/>
              </w:rPr>
              <w:t>+1.56%</w:t>
            </w:r>
          </w:p>
        </w:tc>
      </w:tr>
      <w:tr>
        <w:trPr>
          <w:cantSplit/>
        </w:trPr>
        <w:tc>
          <w:tcPr>
            <w:vAlign w:val="center"/>
            <w:tcW w:w="120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2026-03</w:t>
            </w:r>
          </w:p>
        </w:tc>
        <w:tc>
          <w:tcPr>
            <w:vAlign w:val="center"/>
            <w:noWrap/>
            <w:tcW w:w="83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35000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11.99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2.05</w:t>
            </w:r>
          </w:p>
        </w:tc>
        <w:tc>
          <w:tcPr>
            <w:vAlign w:val="center"/>
            <w:noWrap/>
            <w:tcW w:w="178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2.98</w:t>
            </w:r>
          </w:p>
        </w:tc>
        <w:tc>
          <w:tcPr>
            <w:vAlign w:val="center"/>
            <w:noWrap/>
            <w:tcW w:w="144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17.02</w:t>
            </w:r>
          </w:p>
        </w:tc>
        <w:tc>
          <w:tcPr>
            <w:vAlign w:val="center"/>
            <w:noWrap/>
            <w:tcW w:w="82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-3.30%</w:t>
            </w:r>
          </w:p>
        </w:tc>
      </w:tr>
    </w:tbl>
    <w:p>
      <w:bookmarkStart w:id="31012" w:name="YH_SEC_T1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4.2 成本异常点排查</w:t>
      </w:r>
      <w:bookmarkEnd w:id="31012"/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sz w:val="18"/>
        </w:rPr>
        <w:t>根因定位（程序计算的多维归因，非模型结论；解释力=该根因解释的总变动占比，DiD为对照厂反事实估计）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表4-2 根因定位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2056"/>
        <w:gridCol w:w="1083"/>
        <w:gridCol w:w="742"/>
        <w:gridCol w:w="1819"/>
        <w:gridCol w:w="2784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3" w:name="YHU_TBL_3"/>
            <w:r>
              <w:rPr>
                <w:rFonts w:ascii="Times New Roman" w:hAnsi="Times New Roman" w:eastAsia="宋体" w:cs="Times New Roman"/>
                <w:b/>
                <w:sz w:val="18"/>
              </w:rPr>
              <w:t>排序</w:t>
            </w:r>
            <w:bookmarkEnd w:id="40003"/>
          </w:p>
        </w:tc>
        <w:tc>
          <w:tcPr>
            <w:vAlign w:val="center"/>
            <w:shd w:fill="D9D9D9"/>
            <w:tcW w:w="205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根因集</w:t>
            </w:r>
          </w:p>
        </w:tc>
        <w:tc>
          <w:tcPr>
            <w:vAlign w:val="center"/>
            <w:shd w:fill="D9D9D9"/>
            <w:tcW w:w="108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解释力/估计</w:t>
            </w:r>
          </w:p>
        </w:tc>
        <w:tc>
          <w:tcPr>
            <w:vAlign w:val="center"/>
            <w:shd w:fill="D9D9D9"/>
            <w:tcW w:w="74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  <w:tc>
          <w:tcPr>
            <w:vAlign w:val="center"/>
            <w:shd w:fill="D9D9D9"/>
            <w:tcW w:w="181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可能性(评分)</w:t>
            </w:r>
          </w:p>
        </w:tc>
        <w:tc>
          <w:tcPr>
            <w:vAlign w:val="center"/>
            <w:shd w:fill="D9D9D9"/>
            <w:tcW w:w="278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依据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原料：山茱萸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17.2%</w:t>
            </w:r>
          </w:p>
        </w:tc>
        <w:tc>
          <w:tcPr>
            <w:vAlign w:val="center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中（0.41）</w:t>
            </w:r>
          </w:p>
        </w:tc>
        <w:tc>
          <w:tcPr>
            <w:vAlign w:val="center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占同口径变动17.2%；存在行情同向信号；跨厂变化对照缺失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原料：熟地黄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17.2%</w:t>
            </w:r>
          </w:p>
        </w:tc>
        <w:tc>
          <w:tcPr>
            <w:vAlign w:val="center"/>
            <w:shd w:fill="F7F7F7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shd w:fill="F7F7F7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低（0.39）</w:t>
            </w:r>
          </w:p>
        </w:tc>
        <w:tc>
          <w:tcPr>
            <w:vAlign w:val="center"/>
            <w:shd w:fill="F7F7F7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占同口径变动17.2%；存在行情同向信号；跨厂变化对照缺失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要素：直接材料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62.1%</w:t>
            </w:r>
          </w:p>
        </w:tc>
        <w:tc>
          <w:tcPr>
            <w:vAlign w:val="center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低（0.39）</w:t>
            </w:r>
          </w:p>
        </w:tc>
        <w:tc>
          <w:tcPr>
            <w:vAlign w:val="center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占同口径变动62.1%；跨厂变化对照缺失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要素：制造费用</w:t>
            </w:r>
          </w:p>
        </w:tc>
        <w:tc>
          <w:tcPr>
            <w:vAlign w:val="center"/>
            <w:shd w:fill="F7F7F7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20.7%</w:t>
            </w:r>
          </w:p>
        </w:tc>
        <w:tc>
          <w:tcPr>
            <w:vAlign w:val="center"/>
            <w:shd w:fill="F7F7F7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shd w:fill="F7F7F7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低（0.18）</w:t>
            </w:r>
          </w:p>
        </w:tc>
        <w:tc>
          <w:tcPr>
            <w:vAlign w:val="center"/>
            <w:shd w:fill="F7F7F7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占同口径变动20.7%；跨厂变化对照缺失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</w:t>
            </w:r>
          </w:p>
        </w:tc>
        <w:tc>
          <w:tcPr>
            <w:vAlign w:val="center"/>
            <w:tcW w:w="20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要素：直接人工</w:t>
            </w:r>
          </w:p>
        </w:tc>
        <w:tc>
          <w:tcPr>
            <w:vAlign w:val="center"/>
            <w:noWrap/>
            <w:tcW w:w="108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17.2%</w:t>
            </w:r>
          </w:p>
        </w:tc>
        <w:tc>
          <w:tcPr>
            <w:vAlign w:val="center"/>
            <w:tcW w:w="74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下降</w:t>
            </w:r>
          </w:p>
        </w:tc>
        <w:tc>
          <w:tcPr>
            <w:vAlign w:val="center"/>
            <w:tcW w:w="181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低（0.16）</w:t>
            </w:r>
          </w:p>
        </w:tc>
        <w:tc>
          <w:tcPr>
            <w:vAlign w:val="center"/>
            <w:tcW w:w="278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占同口径变动17.2%；跨厂变化对照缺失</w:t>
            </w:r>
          </w:p>
        </w:tc>
      </w:tr>
    </w:tbl>
    <w:p>
      <w:bookmarkStart w:id="10311" w:name="YH_c282ade0_311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本期产量 35000 盒，总成本 595700.00 元。 相对预算总成本差额 -2800.00 元，其中产量影响 0.00 元，单位成本影响 -2800.00 元；不能全部归为效率恶化。</w:t>
        <w:br/>
        <w:t xml:space="preserve">直接材料的总额环比变动 21.36%；总额同时受产量影响。</w:t>
        <w:br/>
        <w:t xml:space="preserve">直接人工的总额环比变动 19.19%；总额同时受产量影响。</w:t>
        <w:br/>
        <w:t xml:space="preserve">制造费用的总额环比变动 20.16%；总额同时受产量影响。</w:t>
        <w:br/>
        <w:t xml:space="preserve">归因方向评估（按可能性排序；以下均为待证实假设，供业务判断）：</w:t>
        <w:br/>
        <w:t xml:space="preserve">1. 材料价格传导：山茱萸市场价由上期 53.0 变为 51.0 元/kg（安国中药材市场），与材料单位成本变动方向一致，价格传导可能性较高。证实或证伪：核对采购合同单价与市场价的偏离、以及批次库存结构。</w:t>
        <w:br/>
        <w:t xml:space="preserve">2. 单位耗用变化：投料单耗或提取收率变化会直接改变每盒材料成本，与价格因素叠加。证实或证伪：同批次投料记录与合格产出对照上期，计算单耗变动。</w:t>
        <w:br/>
        <w:t xml:space="preserve">3. 产量分摊：产量环比上升 7000.00 盒，折旧、间接人工等偏固定费用按产量分摊时，单位成本会随产量下降。证实或证伪：核对制造费用分配表使用的产量基数是否与实际产量一致。</w:t>
      </w:r>
      <w:bookmarkEnd w:id="10311"/>
    </w:p>
    <w:p>
      <w:bookmarkStart w:id="31013" w:name="YH_SEC_T11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4.3 关键原材料市场价格跟踪</w:t>
      </w:r>
      <w:bookmarkEnd w:id="31013"/>
    </w:p>
    <w:p>
      <w:bookmarkStart w:id="10313" w:name="YH_c282ade0_313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3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表4-3 原材料价格跟踪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072"/>
        <w:gridCol w:w="1287"/>
        <w:gridCol w:w="1287"/>
        <w:gridCol w:w="607"/>
        <w:gridCol w:w="2356"/>
        <w:gridCol w:w="2354"/>
      </w:tblGrid>
      <w:tr>
        <w:trPr>
          <w:tblHeader/>
          <w:cantSplit/>
        </w:trPr>
        <w:tc>
          <w:tcPr>
            <w:vAlign w:val="center"/>
            <w:shd w:fill="D9D9D9"/>
            <w:tcW w:w="1072" w:type="dxa"/>
          </w:tcPr>
          <w:p>
            <w:pPr>
              <w:jc w:val="center"/>
            </w:pPr>
            <w:bookmarkStart w:id="40002" w:name="YHU_TBL_2"/>
            <w:r>
              <w:rPr>
                <w:rFonts w:ascii="Times New Roman" w:hAnsi="Times New Roman" w:eastAsia="宋体" w:cs="Times New Roman"/>
                <w:b/>
                <w:sz w:val="18"/>
              </w:rPr>
              <w:t>原材料</w:t>
            </w:r>
            <w:bookmarkEnd w:id="40002"/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年初价(元/kg)</w:t>
            </w:r>
          </w:p>
        </w:tc>
        <w:tc>
          <w:tcPr>
            <w:vAlign w:val="center"/>
            <w:shd w:fill="D9D9D9"/>
            <w:tcW w:w="128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本月价(元/kg)</w:t>
            </w:r>
          </w:p>
        </w:tc>
        <w:tc>
          <w:tcPr>
            <w:vAlign w:val="center"/>
            <w:shd w:fill="D9D9D9"/>
            <w:tcW w:w="60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涨幅</w:t>
            </w:r>
          </w:p>
        </w:tc>
        <w:tc>
          <w:tcPr>
            <w:vAlign w:val="center"/>
            <w:shd w:fill="D9D9D9"/>
            <w:tcW w:w="2356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市场趋势</w:t>
            </w:r>
          </w:p>
        </w:tc>
        <w:tc>
          <w:tcPr>
            <w:vAlign w:val="center"/>
            <w:shd w:fill="D9D9D9"/>
            <w:tcW w:w="235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对材料成本影响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熟地黄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38.0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37.5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-1.3%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产地加工成本上升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山茱萸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52.0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51.0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-1.9%</w:t>
            </w:r>
          </w:p>
        </w:tc>
        <w:tc>
          <w:tcPr>
            <w:vAlign w:val="center"/>
            <w:shd w:fill="F7F7F7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↑ 库存偏低推动上涨</w:t>
            </w:r>
          </w:p>
        </w:tc>
        <w:tc>
          <w:tcPr>
            <w:vAlign w:val="center"/>
            <w:shd w:fill="F7F7F7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山药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32.0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31.5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-1.6%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供需平衡，小幅波动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泽泻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18.0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17.8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-1.1%</w:t>
            </w:r>
          </w:p>
        </w:tc>
        <w:tc>
          <w:tcPr>
            <w:vAlign w:val="center"/>
            <w:shd w:fill="F7F7F7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基本稳定</w:t>
            </w:r>
          </w:p>
        </w:tc>
        <w:tc>
          <w:tcPr>
            <w:vAlign w:val="center"/>
            <w:shd w:fill="F7F7F7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茯苓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25.0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24.5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-2.0%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小幅波动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牡丹皮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35.0</w:t>
            </w:r>
          </w:p>
        </w:tc>
        <w:tc>
          <w:tcPr>
            <w:vAlign w:val="center"/>
            <w:shd w:fill="F7F7F7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34.5</w:t>
            </w:r>
          </w:p>
        </w:tc>
        <w:tc>
          <w:tcPr>
            <w:vAlign w:val="center"/>
            <w:shd w:fill="F7F7F7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-1.4%</w:t>
            </w:r>
          </w:p>
        </w:tc>
        <w:tc>
          <w:tcPr>
            <w:vAlign w:val="center"/>
            <w:shd w:fill="F7F7F7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基本平稳</w:t>
            </w:r>
          </w:p>
        </w:tc>
        <w:tc>
          <w:tcPr>
            <w:vAlign w:val="center"/>
            <w:shd w:fill="F7F7F7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  <w:tr>
        <w:trPr>
          <w:cantSplit/>
        </w:trPr>
        <w:tc>
          <w:tcPr>
            <w:vAlign w:val="center"/>
            <w:tcW w:w="107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空心胶囊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85.0</w:t>
            </w:r>
          </w:p>
        </w:tc>
        <w:tc>
          <w:tcPr>
            <w:vAlign w:val="center"/>
            <w:noWrap/>
            <w:tcW w:w="128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84.0</w:t>
            </w:r>
          </w:p>
        </w:tc>
        <w:tc>
          <w:tcPr>
            <w:vAlign w:val="center"/>
            <w:noWrap/>
            <w:tcW w:w="60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7"/>
              </w:rPr>
              <w:t>-1.2%</w:t>
            </w:r>
          </w:p>
        </w:tc>
        <w:tc>
          <w:tcPr>
            <w:vAlign w:val="center"/>
            <w:tcW w:w="235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→ 基本稳定</w:t>
            </w:r>
          </w:p>
        </w:tc>
        <w:tc>
          <w:tcPr>
            <w:vAlign w:val="center"/>
            <w:tcW w:w="235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主要材料，价格变动直接影响单位材料成本</w:t>
            </w:r>
          </w:p>
        </w:tc>
      </w:tr>
    </w:tbl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400000" cy="31202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ver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1202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图4-2 原料单位耗用成本变动排行（前8，涨红跌绿）</w:t>
      </w:r>
    </w:p>
    <w:p>
      <w:bookmarkStart w:id="31014" w:name="YH_SEC_T12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五、对标分析（与中药二厂）</w:t>
      </w:r>
      <w:bookmarkEnd w:id="31014"/>
    </w:p>
    <w:p>
      <w:bookmarkStart w:id="31015" w:name="YH_SEC_T13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5.1 差异总览</w:t>
      </w:r>
      <w:bookmarkEnd w:id="31015"/>
    </w:p>
    <w:p>
      <w:bookmarkStart w:id="10316" w:name="YH_c282ade0_316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16"/>
    </w:p>
    <w:p>
      <w:pPr>
        <w:jc w:val="center"/>
        <w:snapToGrid w:val="0"/>
      </w:pPr>
      <w:r>
        <w:rPr>
          <w:rFonts w:ascii="Times New Roman" w:hAnsi="Times New Roman" w:eastAsia="宋体" w:cs="Times New Roman"/>
        </w:rPr>
        <w:drawing>
          <wp:inline xmlns:a="http://schemas.openxmlformats.org/drawingml/2006/main" xmlns:pic="http://schemas.openxmlformats.org/drawingml/2006/picture">
            <wp:extent cx="5730875" cy="16808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nchmark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6808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sz w:val="17"/>
        </w:rPr>
        <w:t>图5-1 跨厂三要素（中药一厂−中药二厂，以中药二厂为分母）</w:t>
      </w:r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表5-1 对标差异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2336"/>
        <w:gridCol w:w="860"/>
        <w:gridCol w:w="860"/>
        <w:gridCol w:w="860"/>
        <w:gridCol w:w="734"/>
        <w:gridCol w:w="3315"/>
      </w:tblGrid>
      <w:tr>
        <w:trPr>
          <w:tblHeader/>
          <w:cantSplit/>
        </w:trPr>
        <w:tc>
          <w:tcPr>
            <w:vAlign w:val="center"/>
            <w:shd w:fill="D9D9D9"/>
            <w:tcW w:w="2336" w:type="dxa"/>
          </w:tcPr>
          <w:p>
            <w:pPr>
              <w:jc w:val="center"/>
            </w:pPr>
            <w:bookmarkStart w:id="40004" w:name="YHU_TBL_4"/>
            <w:r>
              <w:rPr>
                <w:rFonts w:ascii="Times New Roman" w:hAnsi="Times New Roman" w:eastAsia="宋体" w:cs="Times New Roman"/>
                <w:b/>
                <w:sz w:val="18"/>
              </w:rPr>
              <w:t>对比维度</w:t>
            </w:r>
            <w:bookmarkEnd w:id="40004"/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中药一厂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中药二厂</w:t>
            </w:r>
          </w:p>
        </w:tc>
        <w:tc>
          <w:tcPr>
            <w:vAlign w:val="center"/>
            <w:shd w:fill="D9D9D9"/>
            <w:tcW w:w="860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差异金额</w:t>
            </w:r>
          </w:p>
        </w:tc>
        <w:tc>
          <w:tcPr>
            <w:vAlign w:val="center"/>
            <w:shd w:fill="D9D9D9"/>
            <w:tcW w:w="73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差异率</w:t>
            </w:r>
          </w:p>
        </w:tc>
        <w:tc>
          <w:tcPr>
            <w:vAlign w:val="center"/>
            <w:shd w:fill="D9D9D9"/>
            <w:tcW w:w="331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方向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单位成本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17.02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18.18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-1.16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-6.38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直接材料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11.99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12.62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-0.63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-4.99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直接人工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2.05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2.28</w:t>
            </w:r>
          </w:p>
        </w:tc>
        <w:tc>
          <w:tcPr>
            <w:vAlign w:val="center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-0.23</w:t>
            </w:r>
          </w:p>
        </w:tc>
        <w:tc>
          <w:tcPr>
            <w:vAlign w:val="center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-10.09</w:t>
            </w:r>
          </w:p>
        </w:tc>
        <w:tc>
          <w:tcPr>
            <w:vAlign w:val="center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2336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制造费用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2.98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3.28</w:t>
            </w:r>
          </w:p>
        </w:tc>
        <w:tc>
          <w:tcPr>
            <w:vAlign w:val="center"/>
            <w:shd w:fill="F7F7F7"/>
            <w:noWrap/>
            <w:tcW w:w="86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-0.30</w:t>
            </w:r>
          </w:p>
        </w:tc>
        <w:tc>
          <w:tcPr>
            <w:vAlign w:val="center"/>
            <w:shd w:fill="F7F7F7"/>
            <w:noWrap/>
            <w:tcW w:w="73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8000"/>
                <w:sz w:val="18"/>
              </w:rPr>
              <w:t>-9.15</w:t>
            </w:r>
          </w:p>
        </w:tc>
        <w:tc>
          <w:tcPr>
            <w:vAlign w:val="center"/>
            <w:shd w:fill="F7F7F7"/>
            <w:tcW w:w="331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中药二厂较高</w:t>
            </w:r>
          </w:p>
        </w:tc>
      </w:tr>
    </w:tbl>
    <w:p>
      <w:bookmarkStart w:id="31016" w:name="YH_SEC_T14"/>
      <w:pPr>
        <w:pStyle w:val="3"/>
        <w:pageBreakBefore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5.2 差异结构拆解</w:t>
      </w:r>
      <w:bookmarkEnd w:id="31016"/>
    </w:p>
    <w:p>
      <w:bookmarkStart w:id="10318" w:name="YH_c282ade0_318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中药一厂−中药二厂，以中药二厂为分母。直接材料差额 -0.63 元/盒，占跨厂单位成本总差额 54.31%；直接人工差额 -0.23 元/盒，占跨厂单位成本总差额 19.83%；制造费用差额 -0.30 元/盒，占跨厂单位成本总差额 25.86%。</w:t>
      </w:r>
      <w:bookmarkEnd w:id="10318"/>
    </w:p>
    <w:p>
      <w:bookmarkStart w:id="31017" w:name="YH_SEC_T15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5.3 差异归因分析</w:t>
      </w:r>
      <w:bookmarkEnd w:id="31017"/>
    </w:p>
    <w:p>
      <w:bookmarkStart w:id="10320" w:name="YH_c282ade0_320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三要素差额用于定位核查重点。请两厂成本会计核对同规格的领料、工时与费用分摊记录。</w:t>
      </w:r>
      <w:bookmarkEnd w:id="10320"/>
    </w:p>
    <w:p>
      <w:bookmarkStart w:id="31018" w:name="YH_SEC_T16"/>
      <w:pPr>
        <w:pStyle w:val="2"/>
        <w:spacing w:line="360" w:lineRule="auto"/>
        <w:outlineLvl w:val="1"/>
      </w:pPr>
      <w:r>
        <w:rPr>
          <w:rFonts w:ascii="Times New Roman" w:hAnsi="Times New Roman" w:eastAsia="黑体" w:cs="Times New Roman"/>
          <w:b/>
          <w:color w:val="000000"/>
          <w:sz w:val="30"/>
        </w:rPr>
        <w:t>六、总结与建议</w:t>
      </w:r>
      <w:bookmarkEnd w:id="31018"/>
    </w:p>
    <w:p>
      <w:bookmarkStart w:id="31019" w:name="YH_SEC_T17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6.1 本月成本管理亮点</w:t>
      </w:r>
      <w:bookmarkEnd w:id="31019"/>
    </w:p>
    <w:p>
      <w:bookmarkStart w:id="10323" w:name="YH_c282ade0_323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单位成本环比下降 3.30%（本期 17.02 元/盒）；改善最大的成本要素：直接人工（单位环比 -4.65%）。</w:t>
      </w:r>
      <w:bookmarkEnd w:id="10323"/>
    </w:p>
    <w:p>
      <w:bookmarkStart w:id="31020" w:name="YH_SEC_T18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6.2 需关注的问题</w:t>
      </w:r>
      <w:bookmarkEnd w:id="31020"/>
    </w:p>
    <w:p>
      <w:bookmarkStart w:id="10325" w:name="YH_c282ade0_325"/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>原料成本变化不能直接等同采购价变化。平均小时工资为题包折算口径，不能据此认定基础薪率上调。跨厂原料差异需核对两厂明细：缺失的工厂原料明细仍须补充，汇总差异不能替代真实下钻。</w:t>
      </w:r>
      <w:bookmarkEnd w:id="10325"/>
    </w:p>
    <w:p>
      <w:bookmarkStart w:id="31021" w:name="YH_SEC_T19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6.3 改进建议</w:t>
      </w:r>
      <w:bookmarkEnd w:id="31021"/>
    </w:p>
    <w:p>
      <w:bookmarkStart w:id="10327" w:name="YH_c282ade0_327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7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表6-1 改进建议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480"/>
        <w:gridCol w:w="1948"/>
        <w:gridCol w:w="1945"/>
        <w:gridCol w:w="702"/>
        <w:gridCol w:w="1945"/>
        <w:gridCol w:w="1945"/>
      </w:tblGrid>
      <w:tr>
        <w:trPr>
          <w:tblHeader/>
          <w:cantSplit/>
        </w:trPr>
        <w:tc>
          <w:tcPr>
            <w:vAlign w:val="center"/>
            <w:shd w:fill="D9D9D9"/>
            <w:tcW w:w="480" w:type="dxa"/>
          </w:tcPr>
          <w:p>
            <w:pPr>
              <w:jc w:val="center"/>
            </w:pPr>
            <w:bookmarkStart w:id="40005" w:name="YHU_TBL_5"/>
            <w:r>
              <w:rPr>
                <w:rFonts w:ascii="Times New Roman" w:hAnsi="Times New Roman" w:eastAsia="宋体" w:cs="Times New Roman"/>
                <w:b/>
                <w:sz w:val="18"/>
              </w:rPr>
              <w:t>序号</w:t>
            </w:r>
            <w:bookmarkEnd w:id="40005"/>
          </w:p>
        </w:tc>
        <w:tc>
          <w:tcPr>
            <w:vAlign w:val="center"/>
            <w:shd w:fill="D9D9D9"/>
            <w:tcW w:w="194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建议事项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责任部门</w:t>
            </w:r>
          </w:p>
        </w:tc>
        <w:tc>
          <w:tcPr>
            <w:vAlign w:val="center"/>
            <w:shd w:fill="D9D9D9"/>
            <w:tcW w:w="702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预期效果</w:t>
            </w:r>
          </w:p>
        </w:tc>
        <w:tc>
          <w:tcPr>
            <w:vAlign w:val="center"/>
            <w:shd w:fill="D9D9D9"/>
            <w:tcW w:w="194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建议完成时间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1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按同批次核对采购价、投料与合格产出，分别检查采购变化和生产损耗；工艺调整须经质量部门批准。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采购部、生产部、财务部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实际采购合同及入库单价、批次投料、合格产出与收率记录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2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核对人员结构、加班及返工工时，区分每盒工时变化与人工费用结构变化。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生产部、人力资源部、财务部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班次及加班记录、工资组成与工时台账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3</w:t>
            </w:r>
          </w:p>
        </w:tc>
        <w:tc>
          <w:tcPr>
            <w:vAlign w:val="center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逐项核对费用总额、分配基数和产量影响，仅将本期适用工单用于原因核查，避免重复计入维修费。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设备部、财务部、生产部</w:t>
            </w:r>
          </w:p>
        </w:tc>
        <w:tc>
          <w:tcPr>
            <w:vAlign w:val="center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中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费用分配表及分配基数、本期维修工单与入账凭证</w:t>
            </w:r>
          </w:p>
        </w:tc>
        <w:tc>
          <w:tcPr>
            <w:vAlign w:val="center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  <w:tr>
        <w:trPr>
          <w:cantSplit/>
        </w:trPr>
        <w:tc>
          <w:tcPr>
            <w:vAlign w:val="center"/>
            <w:shd w:fill="F7F7F7"/>
            <w:noWrap/>
            <w:tcW w:w="480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4</w:t>
            </w:r>
          </w:p>
        </w:tc>
        <w:tc>
          <w:tcPr>
            <w:vAlign w:val="center"/>
            <w:shd w:fill="F7F7F7"/>
            <w:tcW w:w="1948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先核对两厂成本归集口径，再按材料、人工和制造费用差额检查主要项目；缺少二厂原料明细时保留缺项。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两厂财务部、生产部</w:t>
            </w:r>
          </w:p>
        </w:tc>
        <w:tc>
          <w:tcPr>
            <w:vAlign w:val="center"/>
            <w:shd w:fill="F7F7F7"/>
            <w:tcW w:w="702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高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两厂原料明细、两厂工时和费用分配表</w:t>
            </w:r>
          </w:p>
        </w:tc>
        <w:tc>
          <w:tcPr>
            <w:vAlign w:val="center"/>
            <w:shd w:fill="F7F7F7"/>
            <w:tcW w:w="1945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7"/>
              </w:rPr>
              <w:t>提交本期成本复核结论前完成资料核对；由责任部门确认具体日期</w:t>
            </w:r>
          </w:p>
        </w:tc>
      </w:tr>
    </w:tbl>
    <w:p>
      <w:bookmarkStart w:id="31022" w:name="YH_SEC_T20"/>
      <w:pPr>
        <w:pStyle w:val="3"/>
        <w:spacing w:line="360" w:lineRule="auto"/>
        <w:outlineLvl w:val="2"/>
      </w:pPr>
      <w:r>
        <w:rPr>
          <w:rFonts w:ascii="Times New Roman" w:hAnsi="Times New Roman" w:eastAsia="黑体" w:cs="Times New Roman"/>
          <w:b/>
          <w:color w:val="000000"/>
          <w:sz w:val="28"/>
        </w:rPr>
        <w:t>6.4 整改任务清单（自动生成）</w:t>
      </w:r>
      <w:bookmarkEnd w:id="31022"/>
    </w:p>
    <w:p>
      <w:bookmarkStart w:id="10329" w:name="YH_c282ade0_329"/>
      <w:pPr>
        <w:spacing w:line="360" w:lineRule="auto"/>
        <w:snapToGrid w:val="0"/>
      </w:pPr>
      <w:r>
        <w:rPr>
          <w:rFonts w:ascii="Times New Roman" w:hAnsi="Times New Roman" w:eastAsia="宋体" w:cs="Times New Roman"/>
          <w:b w:val="0"/>
          <w:sz w:val="22"/>
        </w:rPr>
        <w:t xml:space="preserve"/>
      </w:r>
      <w:bookmarkEnd w:id="10329"/>
    </w:p>
    <w:p>
      <w:pPr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表6-2 整改任务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1467"/>
        <w:gridCol w:w="2153"/>
        <w:gridCol w:w="811"/>
        <w:gridCol w:w="811"/>
        <w:gridCol w:w="1574"/>
        <w:gridCol w:w="2149"/>
      </w:tblGrid>
      <w:tr>
        <w:trPr>
          <w:tblHeader/>
          <w:cantSplit/>
        </w:trPr>
        <w:tc>
          <w:tcPr>
            <w:vAlign w:val="center"/>
            <w:shd w:fill="D9D9D9"/>
            <w:tcW w:w="1467" w:type="dxa"/>
          </w:tcPr>
          <w:p>
            <w:pPr>
              <w:jc w:val="center"/>
            </w:pPr>
            <w:bookmarkStart w:id="40006" w:name="YHU_TBL_6"/>
            <w:r>
              <w:rPr>
                <w:rFonts w:ascii="Times New Roman" w:hAnsi="Times New Roman" w:eastAsia="宋体" w:cs="Times New Roman"/>
                <w:b/>
                <w:sz w:val="18"/>
              </w:rPr>
              <w:t>任务编号</w:t>
            </w:r>
            <w:bookmarkEnd w:id="40006"/>
          </w:p>
        </w:tc>
        <w:tc>
          <w:tcPr>
            <w:vAlign w:val="center"/>
            <w:shd w:fill="D9D9D9"/>
            <w:tcW w:w="2153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任务标题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责任人</w:t>
            </w:r>
          </w:p>
        </w:tc>
        <w:tc>
          <w:tcPr>
            <w:vAlign w:val="center"/>
            <w:shd w:fill="D9D9D9"/>
            <w:tcW w:w="811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优先级</w:t>
            </w:r>
          </w:p>
        </w:tc>
        <w:tc>
          <w:tcPr>
            <w:vAlign w:val="center"/>
            <w:shd w:fill="D9D9D9"/>
            <w:tcW w:w="1574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来源</w:t>
            </w:r>
          </w:p>
        </w:tc>
        <w:tc>
          <w:tcPr>
            <w:vAlign w:val="center"/>
            <w:shd w:fill="D9D9D9"/>
            <w:tcW w:w="2149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截止时间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YH-b4f3ff91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山茱萸本期与上期采购和批次耗用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本报告1号建议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YH-ff25f03b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本期与上期工时、工资组成和合格产量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本报告2号建议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YH-6232f6a7</w:t>
            </w:r>
          </w:p>
        </w:tc>
        <w:tc>
          <w:tcPr>
            <w:vAlign w:val="center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本期费用分配、维修入账与设备运行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中</w:t>
            </w:r>
          </w:p>
        </w:tc>
        <w:tc>
          <w:tcPr>
            <w:vAlign w:val="center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本报告3号建议</w:t>
            </w:r>
          </w:p>
        </w:tc>
        <w:tc>
          <w:tcPr>
            <w:vAlign w:val="center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  <w:tr>
        <w:trPr>
          <w:cantSplit/>
        </w:trPr>
        <w:tc>
          <w:tcPr>
            <w:vAlign w:val="center"/>
            <w:shd w:fill="F7F7F7"/>
            <w:tcW w:w="1467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YH-260242c6</w:t>
            </w:r>
          </w:p>
        </w:tc>
        <w:tc>
          <w:tcPr>
            <w:vAlign w:val="center"/>
            <w:shd w:fill="F7F7F7"/>
            <w:tcW w:w="2153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两厂同规格产品成本归集、工时及费用分配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待分配</w:t>
            </w:r>
          </w:p>
        </w:tc>
        <w:tc>
          <w:tcPr>
            <w:vAlign w:val="center"/>
            <w:shd w:fill="F7F7F7"/>
            <w:tcW w:w="811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高</w:t>
            </w:r>
          </w:p>
        </w:tc>
        <w:tc>
          <w:tcPr>
            <w:vAlign w:val="center"/>
            <w:shd w:fill="F7F7F7"/>
            <w:tcW w:w="1574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本报告4号建议</w:t>
            </w:r>
          </w:p>
        </w:tc>
        <w:tc>
          <w:tcPr>
            <w:vAlign w:val="center"/>
            <w:shd w:fill="F7F7F7"/>
            <w:tcW w:w="2149" w:type="dxa"/>
          </w:tcPr>
          <w:p>
            <w:pPr>
              <w:jc w:val="left"/>
            </w:pPr>
            <w:r>
              <w:rPr>
                <w:rFonts w:ascii="Times New Roman" w:hAnsi="Times New Roman" w:eastAsia="宋体" w:cs="Times New Roman"/>
                <w:b w:val="0"/>
                <w:sz w:val="18"/>
              </w:rPr>
              <w:t>提交本期成本复核结论前完成资料核对；由责任部门确认具体日期（确认后经模拟RPA发送）</w:t>
            </w:r>
          </w:p>
        </w:tc>
      </w:tr>
    </w:tbl>
    <w:p>
      <w:pPr>
        <w:pStyle w:val="3"/>
      </w:pPr>
      <w:r>
        <w:rPr>
          <w:rFonts w:ascii="Times New Roman" w:hAnsi="Times New Roman" w:eastAsia="黑体" w:cs="Times New Roman"/>
        </w:rPr>
        <w:t>七、编制说明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本报告由成本智能分析系统自动生成，数值来自已接入的成本数据。分析文本采用程序规则生成的基础分析，本次未形成通过校验的完整模型解释；原因假设与建议仍需财务及业务人员复核。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数据说明：本报告使用比赛模拟数据。事实、原因假设与缺失证据分别标注；整改任务确认后仅模拟发送。</w:t>
      </w:r>
    </w:p>
    <w:p>
      <w:pPr>
        <w:pStyle w:val="3"/>
        <w:pageBreakBefore/>
      </w:pPr>
      <w:r>
        <w:rPr>
          <w:rFonts w:ascii="Times New Roman" w:hAnsi="Times New Roman" w:eastAsia="黑体" w:cs="Times New Roman"/>
        </w:rPr>
        <w:t>八、知识库引用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产品配方：产品配方文档_六味地黄胶囊.pdf（第1页）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工艺路线：生产工艺文档_中药一厂.pdf（第4页）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GMP要求：药品生产质量管理规范GMP.pdf / GMP法规核心摘要（本期未检索到适用段落，待核）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行业基准：行业成本基准数据_2026（题包02_行业参考数据）（本期未检索到适用段落，待核）</w:t>
      </w:r>
    </w:p>
    <w:p>
      <w:pPr>
        <w:pStyle w:val="3"/>
      </w:pPr>
      <w:r>
        <w:rPr>
          <w:rFonts w:ascii="Times New Roman" w:hAnsi="Times New Roman" w:eastAsia="黑体" w:cs="Times New Roman"/>
        </w:rPr>
        <w:t>九、来源与审核说明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数据来源：成本汇总表、原材料明细表、人工与制造费用表 · 六味地黄胶囊 · 中药一厂 · 2026-03。金额以元、单位成本以元/盒计；季度按产量加权。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正文引用的证据来源（位置可回溯）：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产品配方文档_六味地黄胶囊.pdf · 四、关键物料成本波动分析 · 第3页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车间设备清单_中药一厂.pdf · 六、设备维修历史（高价值事件记录） · 第4页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本期检索到但未被正文直接引用的证据（候选依据 6 条）：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四、六味地黄胶囊 生产工艺路线 · 第4页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产品配方文档_六味地黄胶囊.pdf · 二、处方组成 · 第1页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产品配方文档_六味地黄胶囊.pdf · 二、处方组成 · 第2页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生产工艺文档_中药一厂.pdf · 四、六味地黄胶囊 生产工艺路线 · 第5页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四、使用边界（重要） · 行25-30</w:t>
      </w:r>
    </w:p>
    <w:p>
      <w:pPr>
        <w:spacing w:line="360" w:lineRule="auto"/>
        <w:snapToGrid w:val="0"/>
      </w:pPr>
      <w:r>
        <w:rPr>
          <w:rFonts w:ascii="Times New Roman" w:hAnsi="Times New Roman" w:eastAsia="宋体" w:cs="Times New Roman"/>
        </w:rPr>
        <w:t>· 历史成本异常处理记录_中药一厂_企业内部知识.txt · 三、2026-03 胶囊填充机 NJP-3200 计量盘磨损事件 · 行13-24</w:t>
      </w:r>
    </w:p>
    <w:p>
      <w:pPr>
        <w:pStyle w:val="3"/>
      </w:pPr>
      <w:r>
        <w:rPr>
          <w:rFonts w:ascii="Times New Roman" w:hAnsi="Times New Roman" w:eastAsia="黑体" w:cs="Times New Roman"/>
        </w:rPr>
        <w:t>十、人工归因评分</w:t>
      </w:r>
    </w:p>
    <w:p>
      <w:pPr>
        <w:spacing w:line="360" w:lineRule="auto"/>
        <w:ind w:firstLine="420"/>
        <w:snapToGrid w:val="0"/>
      </w:pPr>
      <w:r>
        <w:rPr>
          <w:rFonts w:ascii="Times New Roman" w:hAnsi="Times New Roman" w:eastAsia="宋体" w:cs="Times New Roman"/>
        </w:rPr>
        <w:t>以下评分由真人评审填写（系统与模型不代填），0—5 分，5 为最好。引用只说明依据来源，不等于已证实因果。</w:t>
      </w:r>
    </w:p>
    <w:p>
      <w:pPr>
        <w:pageBreakBefore/>
        <w:spacing w:before="80" w:after="200"/>
        <w:jc w:val="center"/>
      </w:pPr>
      <w:r>
        <w:rPr>
          <w:rFonts w:ascii="Times New Roman" w:hAnsi="Times New Roman" w:eastAsia="宋体" w:cs="Times New Roman"/>
          <w:b/>
          <w:sz w:val="17"/>
        </w:rPr>
        <w:t>表10-1 人工归因评分表</w:t>
      </w:r>
    </w:p>
    <w:tbl>
      <w:tblPr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  <w:tblCellMar>
          <w:top w:w="15" w:type="dxa"/>
          <w:left w:w="50" w:type="dxa"/>
          <w:bottom w:w="15" w:type="dxa"/>
          <w:right w:w="50" w:type="dxa"/>
        </w:tblCellMar>
        <w:tblLayout w:type="fixed"/>
        <w:tblW w:w="9025" w:type="dxa"/>
      </w:tblPr>
      <w:tblGrid>
        <w:gridCol w:w="3095"/>
        <w:gridCol w:w="1988"/>
        <w:gridCol w:w="2405"/>
        <w:gridCol w:w="1477"/>
      </w:tblGrid>
      <w:tr>
        <w:trPr>
          <w:tblHeader/>
          <w:cantSplit/>
        </w:trPr>
        <w:tc>
          <w:tcPr>
            <w:shd w:fill="D9D9D9"/>
            <w:tcW w:w="3095" w:type="dxa"/>
          </w:tcPr>
          <w:p>
            <w:pPr>
              <w:jc w:val="center"/>
            </w:pPr>
            <w:bookmarkStart w:id="41007" w:name="YHU_TBL_7"/>
            <w:r>
              <w:rPr>
                <w:rFonts w:ascii="Times New Roman" w:hAnsi="Times New Roman" w:eastAsia="宋体" w:cs="Times New Roman"/>
                <w:b/>
                <w:sz w:val="18"/>
              </w:rPr>
              <w:t>评审维度</w:t>
            </w:r>
            <w:bookmarkEnd w:id="41007"/>
          </w:p>
        </w:tc>
        <w:tc>
          <w:tcPr>
            <w:shd w:fill="D9D9D9"/>
            <w:tcW w:w="1988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评分（0—5）</w:t>
            </w:r>
          </w:p>
        </w:tc>
        <w:tc>
          <w:tcPr>
            <w:shd w:fill="D9D9D9"/>
            <w:tcW w:w="2405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评审人（署名）</w:t>
            </w:r>
          </w:p>
        </w:tc>
        <w:tc>
          <w:tcPr>
            <w:shd w:fill="D9D9D9"/>
            <w:tcW w:w="1477" w:type="dxa"/>
          </w:tcPr>
          <w:p>
            <w:pPr>
              <w:jc w:val="center"/>
            </w:pPr>
            <w:r>
              <w:rPr>
                <w:rFonts w:ascii="Times New Roman" w:hAnsi="Times New Roman" w:eastAsia="宋体" w:cs="Times New Roman"/>
                <w:b/>
                <w:sz w:val="18"/>
              </w:rPr>
              <w:t>评审说明</w:t>
            </w:r>
          </w:p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归因准确性与证据支撑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内容可读性与结构完整性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  <w:tr>
        <w:trPr>
          <w:cantSplit/>
        </w:trPr>
        <w:tc>
          <w:tcPr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逐页版式与图表质量</w:t>
            </w:r>
          </w:p>
        </w:tc>
        <w:tc>
          <w:tcPr>
            <w:tcW w:w="1988" w:type="dxa"/>
          </w:tcPr>
          <w:p/>
        </w:tc>
        <w:tc>
          <w:tcPr>
            <w:tcW w:w="2405" w:type="dxa"/>
          </w:tcPr>
          <w:p/>
        </w:tc>
        <w:tc>
          <w:tcPr>
            <w:tcW w:w="1477" w:type="dxa"/>
          </w:tcPr>
          <w:p/>
        </w:tc>
      </w:tr>
      <w:tr>
        <w:trPr>
          <w:cantSplit/>
        </w:trPr>
        <w:tc>
          <w:tcPr>
            <w:shd w:fill="F7F7F7"/>
            <w:tcW w:w="3095" w:type="dxa"/>
          </w:tcPr>
          <w:p>
            <w:r>
              <w:rPr>
                <w:rFonts w:ascii="Times New Roman" w:hAnsi="Times New Roman" w:eastAsia="宋体" w:cs="Times New Roman"/>
                <w:sz w:val="18"/>
              </w:rPr>
              <w:t>总体评价</w:t>
            </w:r>
          </w:p>
        </w:tc>
        <w:tc>
          <w:tcPr>
            <w:shd w:fill="F7F7F7"/>
            <w:tcW w:w="1988" w:type="dxa"/>
          </w:tcPr>
          <w:p/>
        </w:tc>
        <w:tc>
          <w:tcPr>
            <w:shd w:fill="F7F7F7"/>
            <w:tcW w:w="2405" w:type="dxa"/>
          </w:tcPr>
          <w:p/>
        </w:tc>
        <w:tc>
          <w:tcPr>
            <w:shd w:fill="F7F7F7"/>
            <w:tcW w:w="1477" w:type="dxa"/>
          </w:tcPr>
          <w:p/>
        </w:tc>
      </w:tr>
    </w:tbl>
    <w:sectPr>
      <w:headerReference r:id="rId8" w:type="default"/>
      <w:footerReference r:id="rId10" w:type="default"/>
      <w:pgSz w:w="11905" w:h="16840"/>
      <w:pgNumType w:fmt="decimal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2000000" w:usb3="00000000" w:csb0="2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AF4425">
    <w:pPr>
      <w:pStyle w:val="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D5CFB4A">
    <w:pPr>
      <w:pStyle w:val="6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D2F0F5B"/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</w:pPr>
    <w:r>
      <w:rPr>
        <w:rFonts w:ascii="Noto Sans SC" w:hAnsi="Noto Sans SC"/>
        <w:sz w:val="18"/>
      </w:rPr>
      <w:t>第</w:t>
    </w:r>
    <w:fldSimple w:instr="PAGE">
      <w:r>
        <w:t>1</w:t>
      </w:r>
    </w:fldSimple>
    <w:r>
      <w:rPr>
        <w:rFonts w:ascii="Noto Sans SC" w:hAnsi="Noto Sans SC"/>
        <w:sz w:val="18"/>
      </w:rPr>
      <w:t>页共</w:t>
    </w:r>
    <w:fldSimple w:instr="NUMPAGES">
      <w:r>
        <w:t>1</w:t>
      </w:r>
    </w:fldSimple>
    <w:r>
      <w:rPr>
        <w:rFonts w:ascii="Noto Sans SC" w:hAnsi="Noto Sans SC"/>
        <w:sz w:val="18"/>
      </w:rP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CC27BD">
    <w:pPr>
      <w:pStyle w:val="7"/>
      <w:pBdr>
        <w:bottom w:val="thickThinSmallGap" w:color="622423" w:sz="24" w:space="1"/>
      </w:pBdr>
      <w:tabs>
        <w:tab w:val="center" w:pos="4156"/>
        <w:tab w:val="right" w:pos="8312"/>
        <w:tab w:val="clear" w:pos="4153"/>
        <w:tab w:val="clear" w:pos="8306"/>
      </w:tabs>
      <w:jc w:val="left"/>
      <w:rPr>
        <w:rFonts w:hint="default" w:ascii="Cambria" w:hAnsi="Cambria"/>
        <w:sz w:val="28"/>
        <w:szCs w:val="28"/>
        <w:lang w:val="en-US" w:eastAsia="zh-CN"/>
      </w:rPr>
    </w:pPr>
    <w:r>
      <w:rPr>
        <w:rFonts w:hint="eastAsia" w:ascii="Cambria" w:hAnsi="Cambria"/>
        <w:sz w:val="2"/>
        <w:szCs w:val="2"/>
        <w:lang w:val="en-US" w:eastAsia="zh-CN"/>
      </w:rPr>
      <w:t xml:space="preserve">  </w:t>
    </w:r>
    <w:r>
      <w:rPr>
        <w:rFonts w:hint="eastAsia" w:ascii="Cambria" w:hAnsi="Cambria"/>
        <w:sz w:val="32"/>
        <w:szCs w:val="32"/>
        <w:lang w:val="en-US" w:eastAsia="zh-CN"/>
      </w:rPr>
      <w:t xml:space="preserve">                                                                </w:t>
    </w:r>
    <w:r>
      <w:drawing>
        <wp:inline distT="0" distB="0" distL="114300" distR="114300">
          <wp:extent cx="878205" cy="290195"/>
          <wp:effectExtent l="0" t="0" r="10795" b="15875"/>
          <wp:docPr id="5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78205" cy="2901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46FEAB">
    <w:pPr>
      <w:pStyle w:val="7"/>
    </w:pPr>
    <w:r>
      <w:pict>
        <v:shape id="PowerPlusWaterMarkObject661112813" o:spid="_x0000_s4099" o:spt="136" type="#_x0000_t136" style="position:absolute;left:0pt;height:41.8pt;width:544.05pt;mso-position-horizontal:center;mso-position-horizontal-relative:margin;mso-position-vertical:center;mso-position-vertical-relative:margin;rotation:20643840f;z-index:-251656192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19029D9">
    <w:pPr>
      <w:pStyle w:val="7"/>
    </w:pPr>
    <w:r>
      <w:pict>
        <v:shape id="PowerPlusWaterMarkObject661112812" o:spid="_x0000_s4097" o:spt="136" type="#_x0000_t136" style="position:absolute;left:0pt;height:41.8pt;width:544.05pt;mso-position-horizontal:center;mso-position-horizontal-relative:margin;mso-position-vertical:center;mso-position-vertical-relative:margin;rotation:20643840f;z-index:-251657216;mso-width-relative:page;mso-height-relative:page;" fillcolor="#C0C0C0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重庆创灵境数字技术有限公司" style="font-family:宋体;font-size:8pt;v-same-letter-heights:f;v-text-align:center;"/>
        </v:shape>
      </w:pic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41641B">
    <w:pPr>
      <w:pStyle w:val="7"/>
      <w:pBdr>
        <w:bottom w:val="single" w:color="auto" w:sz="6" w:space="0"/>
      </w:pBdr>
      <w:spacing w:line="240" w:lineRule="auto"/>
      <w:ind w:firstLine="0" w:firstLineChars="0"/>
      <w:jc w:val="both"/>
    </w:pPr>
    <w:bookmarkStart w:id="10" w:name="OLE_LINK16"/>
    <w:bookmarkStart w:id="11" w:name="_Hlk255476443"/>
    <w:bookmarkStart w:id="12" w:name="OLE_LINK17"/>
    <w:r>
      <w:drawing>
        <wp:inline distT="0" distB="0" distL="114300" distR="114300">
          <wp:extent cx="682625" cy="225425"/>
          <wp:effectExtent l="0" t="0" r="3175" b="2540"/>
          <wp:docPr id="30" name="图片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0" name="图片 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82625" cy="2254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hint="eastAsia" w:ascii="微软雅黑" w:hAnsi="微软雅黑" w:eastAsia="微软雅黑"/>
        <w:lang w:val="zh-CN"/>
      </w:rPr>
      <w:tab/>
    </w:r>
    <w:bookmarkEnd w:id="10"/>
    <w:bookmarkEnd w:id="11"/>
    <w:bookmarkEnd w:id="12"/>
    <w:r>
      <w:rPr>
        <w:rFonts w:ascii="微软雅黑" w:hAnsi="微软雅黑" w:eastAsia="微软雅黑"/>
        <w:lang w:val="zh-CN"/>
      </w:rPr>
      <w:t xml:space="preserve">                                                             </w:t>
    </w:r>
    <w:r>
      <w:rPr>
        <w:rFonts w:ascii="微软雅黑" w:hAnsi="微软雅黑" w:eastAsia="微软雅黑"/>
        <w:woUserID w:val="6"/>
      </w:rPr>
      <w:t xml:space="preserve">  </w:t>
    </w:r>
    <w:r>
      <w:rPr>
        <w:rFonts w:hint="eastAsia" w:ascii="微软雅黑" w:hAnsi="微软雅黑" w:eastAsia="微软雅黑"/>
        <w:lang w:val="en-US" w:eastAsia="zh-CN"/>
        <w:woUserID w:val="6"/>
      </w:rPr>
      <w:t xml:space="preserve">                                          整体解决方案</w:t>
    </w:r>
    <w:r>
      <w:rPr>
        <w:rFonts w:hint="eastAsia" w:ascii="微软雅黑" w:hAnsi="微软雅黑" w:eastAsia="微软雅黑"/>
        <w:lang w:val="en-US" w:eastAsia="zh-CN"/>
        <w:woUserID w:val="6"/>
      </w:rPr>
      <w:tab/>
    </w:r>
    <w:r>
      <w:rPr>
        <w:sz w:val="18"/>
      </w:rPr>
      <w:pict>
        <v:shape id="_x0000_s4100" o:spid="_x0000_s4100" o:spt="136" type="#_x0000_t136" style="position:absolute;left:0pt;height:47.3pt;width:539.9pt;mso-position-horizontal:center;mso-position-horizontal-relative:margin;mso-position-vertical:center;mso-position-vertical-relative:margin;rotation:-2949120f;z-index:-251654144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  <w:r>
      <w:rPr>
        <w:sz w:val="18"/>
      </w:rPr>
      <w:pict>
        <v:shape id="_x0000_s4103" o:spid="_x0000_s4103" o:spt="136" type="#_x0000_t136" style="position:absolute;left:0pt;height:47.3pt;width:539.9pt;mso-position-horizontal:center;mso-position-horizontal-relative:margin;mso-position-vertical:center;mso-position-vertical-relative:margin;rotation:-2949120f;z-index:-251653120;mso-width-relative:page;mso-height-relative:page;" fillcolor="#C0C0C0" filled="t" stroked="f" coordsize="21600,21600" adj="10800">
          <v:path/>
          <v:fill on="t" opacity="32768f" focussize="0,0"/>
          <v:stroke on="f"/>
          <v:imagedata o:title=""/>
          <o:lock v:ext="edit" aspectratio="t"/>
          <v:textpath on="t" fitshape="t" fitpath="t" trim="t" xscale="f" string="重庆创灵境数字技术有限公司" style="font-family:仿宋;font-size:36pt;v-same-letter-heights:f;v-text-align:center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C83366"/>
    <w:multiLevelType w:val="singleLevel"/>
    <w:tmpl w:val="54C83366"/>
    <w:lvl w:ilvl="0" w:tentative="0">
      <w:start w:val="1"/>
      <w:numFmt w:val="decimal"/>
      <w:lvlText w:val="%1"/>
      <w:legacy w:legacy="1" w:legacySpace="0" w:legacyIndent="0"/>
      <w:lvlJc w:val="left"/>
      <w:pPr>
        <w:ind w:left="0" w:firstLine="0"/>
      </w:pPr>
      <w:rPr>
        <w:rFonts w:hint="eastAsia" w:ascii="宋体" w:eastAsia="宋体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5"/>
  <w:bordersDoNotSurroundHeader w:val="0"/>
  <w:bordersDoNotSurroundFooter w:val="0"/>
  <w:documentProtection w:enforcement="0"/>
  <w:displayHorizontalDrawingGridEvery w:val="1"/>
  <w:displayVerticalDrawingGridEvery w:val="1"/>
  <w:noPunctuationKerning w:val="1"/>
  <w:hdrShapeDefaults>
    <o:shapelayout v:ext="edit">
      <o:idmap v:ext="edit" data="3,4"/>
    </o:shapelayout>
  </w:hdrShapeDefaults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0A1BFB"/>
    <w:rsid w:val="1E5FC37C"/>
    <w:rsid w:val="377C302E"/>
    <w:rsid w:val="480677A0"/>
    <w:rsid w:val="4ED98221"/>
    <w:rsid w:val="4EED886A"/>
    <w:rsid w:val="53AE22B0"/>
    <w:rsid w:val="62F05A66"/>
    <w:rsid w:val="739D4238"/>
    <w:rsid w:val="7F5EABD1"/>
    <w:rsid w:val="7F618110"/>
    <w:rsid w:val="9FDE301C"/>
    <w:rsid w:val="ABBB700E"/>
    <w:rsid w:val="B977DDAD"/>
    <w:rsid w:val="DFFD4C08"/>
    <w:rsid w:val="F9FE8422"/>
    <w:rsid w:val="FAEF54EA"/>
    <w:rsid w:val="FB7B0F51"/>
    <w:rsid w:val="FEC6EF0B"/>
    <w:rsid w:val="FF77BE0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39" w:semiHidden="0" w:name="toc 2"/>
    <w:lsdException w:qFormat="1" w:unhideWhenUsed="0" w:uiPriority="39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240" w:beforeLines="150" w:after="120" w:afterLines="50" w:line="360" w:lineRule="auto"/>
      <w:outlineLvl w:val="0"/>
    </w:pPr>
    <w:rPr>
      <w:rFonts w:ascii="Times New Roman" w:hAnsi="Times New Roman" w:eastAsia="黑体" w:cs="Times New Roman"/>
      <w:b/>
      <w:bCs/>
      <w:color w:val="000000"/>
      <w:kern w:val="44"/>
      <w:sz w:val="30"/>
      <w:szCs w:val="44"/>
    </w:rPr>
  </w:style>
  <w:style w:type="paragraph" w:styleId="3">
    <w:name w:val="heading 2"/>
    <w:basedOn w:val="1"/>
    <w:next w:val="1"/>
    <w:unhideWhenUsed/>
    <w:qFormat/>
    <w:uiPriority w:val="0"/>
    <w:pPr>
      <w:spacing w:before="200" w:beforeLines="0" w:beforeAutospacing="0" w:after="100" w:afterLines="0" w:afterAutospacing="0" w:line="360" w:lineRule="auto"/>
      <w:outlineLvl w:val="1"/>
    </w:pPr>
    <w:rPr>
      <w:rFonts w:ascii="Times New Roman" w:hAnsi="Times New Roman" w:eastAsia="黑体" w:cs="Times New Roman"/>
      <w:b/>
      <w:color w:val="000000"/>
      <w:sz w:val="28"/>
    </w:rPr>
  </w:style>
  <w:style w:type="character" w:default="1" w:styleId="12">
    <w:name w:val="Default Paragraph Font"/>
    <w:semiHidden/>
    <w:qFormat/>
    <w:uiPriority w:val="0"/>
  </w:style>
  <w:style w:type="table" w:default="1" w:styleId="11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overflowPunct w:val="0"/>
      <w:autoSpaceDE w:val="0"/>
      <w:autoSpaceDN w:val="0"/>
      <w:adjustRightInd w:val="0"/>
      <w:spacing w:before="120" w:after="120"/>
      <w:ind w:left="2520"/>
      <w:jc w:val="left"/>
      <w:textAlignment w:val="baseline"/>
    </w:pPr>
    <w:rPr>
      <w:rFonts w:ascii="宋体"/>
      <w:kern w:val="0"/>
      <w:sz w:val="24"/>
    </w:rPr>
  </w:style>
  <w:style w:type="paragraph" w:styleId="5">
    <w:name w:val="toc 3"/>
    <w:basedOn w:val="1"/>
    <w:next w:val="1"/>
    <w:qFormat/>
    <w:uiPriority w:val="39"/>
    <w:pPr>
      <w:ind w:left="420"/>
      <w:jc w:val="left"/>
    </w:pPr>
    <w:rPr>
      <w:iCs/>
      <w:sz w:val="20"/>
    </w:rPr>
  </w:style>
  <w:style w:type="paragraph" w:styleId="6">
    <w:name w:val="footer"/>
    <w:basedOn w:val="1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1"/>
    <w:next w:val="1"/>
    <w:qFormat/>
    <w:uiPriority w:val="39"/>
    <w:pPr>
      <w:tabs>
        <w:tab w:val="right" w:leader="dot" w:pos="8302"/>
      </w:tabs>
      <w:spacing w:before="20" w:after="20" w:line="312" w:lineRule="auto"/>
    </w:pPr>
    <w:rPr>
      <w:rFonts w:ascii="Times New Roman" w:hAnsi="Times New Roman" w:eastAsia="宋体" w:cs="Times New Roman"/>
      <w:b/>
      <w:bCs/>
      <w:caps/>
      <w:sz w:val="21"/>
    </w:rPr>
  </w:style>
  <w:style w:type="paragraph" w:styleId="TOC2">
    <w:name w:val="toc 2"/>
    <w:basedOn w:val="1"/>
    <w:next w:val="1"/>
    <w:qFormat/>
    <w:uiPriority w:val="39"/>
    <w:pPr>
      <w:tabs>
        <w:tab w:val="right" w:leader="dot" w:pos="8296"/>
      </w:tabs>
      <w:spacing w:before="20" w:after="20" w:line="312" w:lineRule="auto"/>
      <w:ind w:left="420"/>
      <w:jc w:val="left"/>
    </w:pPr>
    <w:rPr>
      <w:rFonts w:ascii="Times New Roman" w:hAnsi="Times New Roman" w:eastAsia="宋体" w:cs="Times New Roman"/>
      <w:smallCaps/>
      <w:sz w:val="21"/>
    </w:rPr>
  </w:style>
  <w:style w:type="paragraph" w:styleId="10">
    <w:name w:val="Normal (Web)"/>
    <w:basedOn w:val="1"/>
    <w:uiPriority w:val="0"/>
    <w:rPr>
      <w:sz w:val="24"/>
    </w:rPr>
  </w:style>
  <w:style w:type="character" w:styleId="13">
    <w:name w:val="Strong"/>
    <w:basedOn w:val="12"/>
    <w:qFormat/>
    <w:uiPriority w:val="0"/>
    <w:rPr>
      <w:b/>
    </w:rPr>
  </w:style>
  <w:style w:type="character" w:styleId="14">
    <w:name w:val="Hyperlink"/>
    <w:qFormat/>
    <w:uiPriority w:val="99"/>
    <w:rPr>
      <w:color w:val="0000FF"/>
      <w:u w:val="single"/>
    </w:rPr>
  </w:style>
  <w:style w:type="paragraph" w:customStyle="1" w:styleId="15">
    <w:name w:val="Title Bar"/>
    <w:basedOn w:val="1"/>
    <w:qFormat/>
    <w:uiPriority w:val="0"/>
    <w:pPr>
      <w:pageBreakBefore/>
      <w:shd w:val="clear" w:color="auto" w:fill="auto"/>
      <w:overflowPunct w:val="0"/>
      <w:autoSpaceDE w:val="0"/>
      <w:autoSpaceDN w:val="0"/>
      <w:adjustRightInd w:val="0"/>
      <w:spacing w:before="1680"/>
      <w:ind w:left="2520" w:right="720"/>
      <w:jc w:val="left"/>
      <w:textAlignment w:val="baseline"/>
    </w:pPr>
    <w:rPr>
      <w:rFonts w:ascii="宋体"/>
      <w:kern w:val="0"/>
      <w:sz w:val="36"/>
    </w:rPr>
  </w:style>
  <w:style w:type="character" w:customStyle="1" w:styleId="16">
    <w:name w:val="Highlighted Variable"/>
    <w:qFormat/>
    <w:uiPriority w:val="0"/>
    <w:rPr>
      <w:color w:val="0000FF"/>
      <w:sz w:val="21"/>
    </w:rPr>
  </w:style>
  <w:style w:type="paragraph" w:customStyle="1" w:styleId="17">
    <w:name w:val="Table Heading"/>
    <w:basedOn w:val="18"/>
    <w:qFormat/>
    <w:uiPriority w:val="0"/>
    <w:pPr>
      <w:spacing w:before="120" w:after="120"/>
    </w:pPr>
    <w:rPr>
      <w:b/>
    </w:rPr>
  </w:style>
  <w:style w:type="paragraph" w:customStyle="1" w:styleId="18">
    <w:name w:val="Table Text"/>
    <w:basedOn w:val="1"/>
    <w:qFormat/>
    <w:uiPriority w:val="0"/>
    <w:pPr>
      <w:overflowPunct w:val="0"/>
      <w:autoSpaceDE w:val="0"/>
      <w:autoSpaceDN w:val="0"/>
      <w:adjustRightInd w:val="0"/>
      <w:jc w:val="left"/>
      <w:textAlignment w:val="baseline"/>
    </w:pPr>
    <w:rPr>
      <w:rFonts w:ascii="宋体"/>
      <w:kern w:val="0"/>
      <w:sz w:val="16"/>
    </w:rPr>
  </w:style>
  <w:style w:type="paragraph" w:customStyle="1" w:styleId="19">
    <w:name w:val="_Style 8"/>
    <w:basedOn w:val="2"/>
    <w:next w:val="1"/>
    <w:qFormat/>
    <w:uiPriority w:val="39"/>
    <w:pPr>
      <w:widowControl/>
      <w:spacing w:before="480" w:line="276" w:lineRule="auto"/>
      <w:jc w:val="left"/>
      <w:outlineLvl w:val="9"/>
    </w:pPr>
    <w:rPr>
      <w:rFonts w:ascii="Cambria" w:hAnsi="Cambria" w:eastAsia="宋体" w:cs="Times New Roman"/>
      <w:color w:val="365F91"/>
      <w:kern w:val="0"/>
      <w:sz w:val="28"/>
      <w:szCs w:val="28"/>
    </w:rPr>
  </w:style>
  <w:style w:type="paragraph" w:customStyle="1" w:styleId="Heading3">
    <w:name w:val="heading 3"/>
    <w:pPr>
      <w:spacing w:before="160" w:after="80" w:line="360" w:lineRule="auto"/>
    </w:pPr>
    <w:rPr>
      <w:rFonts w:ascii="Times New Roman" w:hAnsi="Times New Roman" w:eastAsia="黑体" w:cs="Times New Roman"/>
      <w:b/>
      <w:color w:val="000000"/>
      <w:sz w:val="24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oter" Target="footer3.xml"/><Relationship Id="rId8" Type="http://schemas.openxmlformats.org/officeDocument/2006/relationships/header" Target="header4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4.xml"/><Relationship Id="rId1" Type="http://schemas.openxmlformats.org/officeDocument/2006/relationships/styles" Target="styles.xml"/><Relationship Id="rId15" Type="http://schemas.openxmlformats.org/officeDocument/2006/relationships/image" Target="media/image2.png"/><Relationship Id="rId16" Type="http://schemas.openxmlformats.org/officeDocument/2006/relationships/image" Target="media/image3.png"/><Relationship Id="rId17" Type="http://schemas.openxmlformats.org/officeDocument/2006/relationships/image" Target="media/image4.png"/><Relationship Id="rId18" Type="http://schemas.openxmlformats.org/officeDocument/2006/relationships/image" Target="media/image5.png"/><Relationship Id="rId19" Type="http://schemas.openxmlformats.org/officeDocument/2006/relationships/image" Target="media/image6.png"/><Relationship Id="rId20" Type="http://schemas.openxmlformats.org/officeDocument/2006/relationships/image" Target="media/image7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4099"/>
    <customShpInfo spid="_x0000_s4097"/>
    <customShpInfo spid="_x0000_s4100"/>
    <customShpInfo spid="_x0000_s4103"/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28338</Words>
  <Characters>29804</Characters>
  <TotalTime>3</TotalTime>
  <ScaleCrop>false</ScaleCrop>
  <LinksUpToDate>false</LinksUpToDate>
  <CharactersWithSpaces>30452</CharactersWithSpaces>
  <Application>WPS Office_12.1.25195.25195_F1E327BC-269C-435d-A152-05C5408002CA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2025-10-30T14:48:00Z</dcterms:created>
  <dc:creator>药衡智析演示团队</dc:creator>
  <cp:lastModifiedBy>药衡智析</cp:lastModifiedBy>
  <dcterms:modified xsi:type="dcterms:W3CDTF">2026-06-24T18:14:07Z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eyJoZGlkIjoiZmQ0NzgyMmIxNjdkNTQ2ZmIzODRlMGYxNzhkOTQyNDYiLCJ1c2VySWQiOiIxNDE3MTgxNDAwIn0=</vt:lpwstr>
  </property>
  <property fmtid="{D5CDD505-2E9C-101B-9397-08002B2CF9AE}" pid="3" name="KSOProductBuildVer">
    <vt:lpwstr>2052-12.1.25195.25195</vt:lpwstr>
  </property>
  <property fmtid="{D5CDD505-2E9C-101B-9397-08002B2CF9AE}" pid="4" name="ICV">
    <vt:lpwstr>38BE0C51775F4C39568AD769BE4F85AF_43</vt:lpwstr>
  </property>
</Properties>
</file>