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人壽保險標準銷售流程 SOP（2026 年版）</w:t>
      </w:r>
    </w:p>
    <w:p>
      <w:pPr>
        <w:jc w:val="center"/>
      </w:pPr>
      <w:r>
        <w:t>文件編號：SOP-SALES-2026-01　|　適用對象：全體營業代理人　|　生效日期：2026 年 1 月 1 日</w:t>
      </w:r>
    </w:p>
    <w:p>
      <w:r>
        <w:t>本 SOP 把一次完整銷售分為七個標準步驟，所有代理人必須按序執行，並在客戶管理系統中留存每個步驟的紀錄。合規部會按季度抽查，缺少關鍵步驟者當季合規評分降級。</w:t>
      </w:r>
    </w:p>
    <w:p>
      <w:pPr>
        <w:pStyle w:val="Heading1"/>
      </w:pPr>
      <w:r>
        <w:t>第一步：名單整理與約見（Day 0）</w:t>
      </w:r>
    </w:p>
    <w:p>
      <w:pPr>
        <w:pStyle w:val="ListBullet"/>
      </w:pPr>
      <w:r>
        <w:t>每週一整理不少於 20 個待跟進名單，分為轉介紹、舊客加保、新線索三類。</w:t>
      </w:r>
    </w:p>
    <w:p>
      <w:pPr>
        <w:pStyle w:val="ListBullet"/>
      </w:pPr>
      <w:r>
        <w:t>新線索須在 72 小時內完成首次電話聯繫，逾時轉化率平均下降 60%。</w:t>
      </w:r>
    </w:p>
    <w:p>
      <w:pPr>
        <w:pStyle w:val="ListBullet"/>
      </w:pPr>
      <w:r>
        <w:t>電話約見只爭取面談機會，不在電話中講解產品細節，避免客戶未見面就拒絕。</w:t>
      </w:r>
    </w:p>
    <w:p>
      <w:pPr>
        <w:pStyle w:val="ListBullet"/>
      </w:pPr>
      <w:r>
        <w:t>約見成功後，以短訊或即時通訊發送確認，包括時間、地點及預計面談時長。</w:t>
      </w:r>
    </w:p>
    <w:p>
      <w:pPr>
        <w:pStyle w:val="Heading1"/>
      </w:pPr>
      <w:r>
        <w:t>第二步：面談開場與信任建立（面談首 10 分鐘）</w:t>
      </w:r>
    </w:p>
    <w:p>
      <w:pPr>
        <w:pStyle w:val="ListBullet"/>
      </w:pPr>
      <w:r>
        <w:t>自我介紹並說明面談目的：「今天主要是了解你的家庭保障狀況，不一定要買任何產品。」</w:t>
      </w:r>
    </w:p>
    <w:p>
      <w:pPr>
        <w:pStyle w:val="ListBullet"/>
      </w:pPr>
      <w:r>
        <w:t>先問開放式問題了解家庭結構、職業、收入及已有保單，再談產品。</w:t>
      </w:r>
    </w:p>
    <w:p>
      <w:pPr>
        <w:pStyle w:val="ListBullet"/>
      </w:pPr>
      <w:r>
        <w:t>全程聆聽比例不少於 70%，記錄客戶用語及擔憂，作為後續方案的切入點。</w:t>
      </w:r>
    </w:p>
    <w:p>
      <w:pPr>
        <w:pStyle w:val="ListBullet"/>
      </w:pPr>
      <w:r>
        <w:t>禁止一開場就批評客戶現有保單或貶低同業，違者合規扣分。</w:t>
      </w:r>
    </w:p>
    <w:p>
      <w:pPr>
        <w:pStyle w:val="Heading1"/>
      </w:pPr>
      <w:r>
        <w:t>第三步：需求分析與保障缺口計算</w:t>
      </w:r>
    </w:p>
    <w:p>
      <w:pPr>
        <w:pStyle w:val="ListBullet"/>
      </w:pPr>
      <w:r>
        <w:t>使用財務需要分析（FNA）表格，計算壽險及危疾保障缺口。</w:t>
      </w:r>
    </w:p>
    <w:p>
      <w:pPr>
        <w:pStyle w:val="ListBullet"/>
      </w:pPr>
      <w:r>
        <w:t>壽險保額建議公式：年收入 × 10 + 未償還負債（樓按、貸款）− 現有資產及保額。</w:t>
      </w:r>
    </w:p>
    <w:p>
      <w:pPr>
        <w:pStyle w:val="ListBullet"/>
      </w:pPr>
      <w:r>
        <w:t>危疾保額建議：年收入 × 5，覆蓋 3 至 5 年康復期的收入損失及醫療開支。</w:t>
      </w:r>
    </w:p>
    <w:p>
      <w:pPr>
        <w:pStyle w:val="ListBullet"/>
      </w:pPr>
      <w:r>
        <w:t>退休需求以每月預期開支 × 12 × 20 年估算，再扣除強積金及預期儲蓄。</w:t>
      </w:r>
    </w:p>
    <w:p>
      <w:pPr>
        <w:pStyle w:val="ListBullet"/>
      </w:pPr>
      <w:r>
        <w:t>FNA 表格須由客戶簽署確認，正本保存 7 年。</w:t>
      </w:r>
    </w:p>
    <w:p>
      <w:pPr>
        <w:pStyle w:val="Heading1"/>
      </w:pPr>
      <w:r>
        <w:t>第四步：方案設計與產品配對</w:t>
      </w:r>
    </w:p>
    <w:p>
      <w:pPr>
        <w:pStyle w:val="ListBullet"/>
      </w:pPr>
      <w:r>
        <w:t>按缺口結果選擇產品組合：家庭支柱優先配置定期壽險＋危疾＋醫療，再考慮儲蓄。</w:t>
      </w:r>
    </w:p>
    <w:p>
      <w:pPr>
        <w:pStyle w:val="ListBullet"/>
      </w:pPr>
      <w:r>
        <w:t>每份主險至少搭配一份附加險，常見組合為危疾主險＋住院現金＋意外保障。</w:t>
      </w:r>
    </w:p>
    <w:p>
      <w:pPr>
        <w:pStyle w:val="ListBullet"/>
      </w:pPr>
      <w:r>
        <w:t>製作不少於兩個保費選項（基本版／升級版），讓客戶有選擇空間而非買與不買。</w:t>
      </w:r>
    </w:p>
    <w:p>
      <w:pPr>
        <w:pStyle w:val="ListBullet"/>
      </w:pPr>
      <w:r>
        <w:t>所有非保證利益必須標示「非保證」，建議書由主管覆核後方可發送。</w:t>
      </w:r>
    </w:p>
    <w:p>
      <w:pPr>
        <w:pStyle w:val="Heading1"/>
      </w:pPr>
      <w:r>
        <w:t>第五步：方案講解與異議處理</w:t>
      </w:r>
    </w:p>
    <w:p>
      <w:pPr>
        <w:pStyle w:val="ListBullet"/>
      </w:pPr>
      <w:r>
        <w:t>用 FABE 框架講解每款產品：特點、優勢、對客戶的利益、真實佐證案例。</w:t>
      </w:r>
    </w:p>
    <w:p>
      <w:pPr>
        <w:pStyle w:val="ListBullet"/>
      </w:pPr>
      <w:r>
        <w:t>客戶說「我考慮一下」時，先澄清顧慮屬於費用、保障還是時機，對症處理。</w:t>
      </w:r>
    </w:p>
    <w:p>
      <w:pPr>
        <w:pStyle w:val="ListBullet"/>
      </w:pPr>
      <w:r>
        <w:t>客戶說「太貴」時，把年繳保費換算為每日金額，並對比一次事故的潛在開支。</w:t>
      </w:r>
    </w:p>
    <w:p>
      <w:pPr>
        <w:pStyle w:val="ListBullet"/>
      </w:pPr>
      <w:r>
        <w:t>所有話術須真實，不得誇大回報或承諾非保證紅利。</w:t>
      </w:r>
    </w:p>
    <w:p>
      <w:pPr>
        <w:pStyle w:val="Heading1"/>
      </w:pPr>
      <w:r>
        <w:t>第六步：投保與核保跟進</w:t>
      </w:r>
    </w:p>
    <w:p>
      <w:pPr>
        <w:pStyle w:val="ListBullet"/>
      </w:pPr>
      <w:r>
        <w:t>當面完成投保申請表及健康問卷，逐條向客戶讀出健康申報問題，由客戶本人作答。</w:t>
      </w:r>
    </w:p>
    <w:p>
      <w:pPr>
        <w:pStyle w:val="ListBullet"/>
      </w:pPr>
      <w:r>
        <w:t>如實填報所有病歷，客戶不確定時建議先體檢或查閱病歷，切勿代為判斷。</w:t>
      </w:r>
    </w:p>
    <w:p>
      <w:pPr>
        <w:pStyle w:val="ListBullet"/>
      </w:pPr>
      <w:r>
        <w:t>收取首期保費後 24 小時內遞交申請，並在系統更新狀態。</w:t>
      </w:r>
    </w:p>
    <w:p>
      <w:pPr>
        <w:pStyle w:val="ListBullet"/>
      </w:pPr>
      <w:r>
        <w:t>核保要求體檢或補件時，48 小時內通知客戶並協助預約，每週跟進直至出單。</w:t>
      </w:r>
    </w:p>
    <w:p>
      <w:pPr>
        <w:pStyle w:val="Heading1"/>
      </w:pPr>
      <w:r>
        <w:t>第七步：售後服務與轉介紹（出單後 30 天內）</w:t>
      </w:r>
    </w:p>
    <w:p>
      <w:pPr>
        <w:pStyle w:val="ListBullet"/>
      </w:pPr>
      <w:r>
        <w:t>保單發出後 7 天內親自遞送保單，講解冷靜期權利（21 個曆日）。</w:t>
      </w:r>
    </w:p>
    <w:p>
      <w:pPr>
        <w:pStyle w:val="ListBullet"/>
      </w:pPr>
      <w:r>
        <w:t>冷靜期後第 30 天進行首次回訪，確認客戶理解保障內容及繳費安排。</w:t>
      </w:r>
    </w:p>
    <w:p>
      <w:pPr>
        <w:pStyle w:val="ListBullet"/>
      </w:pPr>
      <w:r>
        <w:t>建立客戶保障檔案，每年至少兩次非銷售聯繫，包括節日問候及理賠提醒。</w:t>
      </w:r>
    </w:p>
    <w:p>
      <w:pPr>
        <w:pStyle w:val="ListBullet"/>
      </w:pPr>
      <w:r>
        <w:t>理賠個案全程協助跟進，一次良好的理賠服務平均帶來 2 至 3 個轉介紹。</w:t>
      </w:r>
    </w:p>
    <w:p>
      <w:pPr>
        <w:pStyle w:val="Heading1"/>
      </w:pPr>
      <w:r>
        <w:t>銷售關鍵指標與時限一覽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環節</w:t>
            </w:r>
          </w:p>
        </w:tc>
        <w:tc>
          <w:tcPr>
            <w:tcW w:type="dxa" w:w="2880"/>
          </w:tcPr>
          <w:p>
            <w:r>
              <w:t>時限要求</w:t>
            </w:r>
          </w:p>
        </w:tc>
        <w:tc>
          <w:tcPr>
            <w:tcW w:type="dxa" w:w="2880"/>
          </w:tcPr>
          <w:p>
            <w:r>
              <w:t>合規要點</w:t>
            </w:r>
          </w:p>
        </w:tc>
      </w:tr>
      <w:tr>
        <w:tc>
          <w:tcPr>
            <w:tcW w:type="dxa" w:w="2880"/>
          </w:tcPr>
          <w:p>
            <w:r>
              <w:t>新線索首次聯繫</w:t>
            </w:r>
          </w:p>
        </w:tc>
        <w:tc>
          <w:tcPr>
            <w:tcW w:type="dxa" w:w="2880"/>
          </w:tcPr>
          <w:p>
            <w:r>
              <w:t>72 小時內</w:t>
            </w:r>
          </w:p>
        </w:tc>
        <w:tc>
          <w:tcPr>
            <w:tcW w:type="dxa" w:w="2880"/>
          </w:tcPr>
          <w:p>
            <w:r>
              <w:t>記錄聯繫時間及結果</w:t>
            </w:r>
          </w:p>
        </w:tc>
      </w:tr>
      <w:tr>
        <w:tc>
          <w:tcPr>
            <w:tcW w:type="dxa" w:w="2880"/>
          </w:tcPr>
          <w:p>
            <w:r>
              <w:t>FNA 需求分析</w:t>
            </w:r>
          </w:p>
        </w:tc>
        <w:tc>
          <w:tcPr>
            <w:tcW w:type="dxa" w:w="2880"/>
          </w:tcPr>
          <w:p>
            <w:r>
              <w:t>方案設計前完成</w:t>
            </w:r>
          </w:p>
        </w:tc>
        <w:tc>
          <w:tcPr>
            <w:tcW w:type="dxa" w:w="2880"/>
          </w:tcPr>
          <w:p>
            <w:r>
              <w:t>客戶簽署，保存 7 年</w:t>
            </w:r>
          </w:p>
        </w:tc>
      </w:tr>
      <w:tr>
        <w:tc>
          <w:tcPr>
            <w:tcW w:type="dxa" w:w="2880"/>
          </w:tcPr>
          <w:p>
            <w:r>
              <w:t>建議書發送</w:t>
            </w:r>
          </w:p>
        </w:tc>
        <w:tc>
          <w:tcPr>
            <w:tcW w:type="dxa" w:w="2880"/>
          </w:tcPr>
          <w:p>
            <w:r>
              <w:t>主管覆核後</w:t>
            </w:r>
          </w:p>
        </w:tc>
        <w:tc>
          <w:tcPr>
            <w:tcW w:type="dxa" w:w="2880"/>
          </w:tcPr>
          <w:p>
            <w:r>
              <w:t>標示非保證利益</w:t>
            </w:r>
          </w:p>
        </w:tc>
      </w:tr>
      <w:tr>
        <w:tc>
          <w:tcPr>
            <w:tcW w:type="dxa" w:w="2880"/>
          </w:tcPr>
          <w:p>
            <w:r>
              <w:t>投保申請遞交</w:t>
            </w:r>
          </w:p>
        </w:tc>
        <w:tc>
          <w:tcPr>
            <w:tcW w:type="dxa" w:w="2880"/>
          </w:tcPr>
          <w:p>
            <w:r>
              <w:t>收費後 24 小時內</w:t>
            </w:r>
          </w:p>
        </w:tc>
        <w:tc>
          <w:tcPr>
            <w:tcW w:type="dxa" w:w="2880"/>
          </w:tcPr>
          <w:p>
            <w:r>
              <w:t>健康申報如實填寫</w:t>
            </w:r>
          </w:p>
        </w:tc>
      </w:tr>
      <w:tr>
        <w:tc>
          <w:tcPr>
            <w:tcW w:type="dxa" w:w="2880"/>
          </w:tcPr>
          <w:p>
            <w:r>
              <w:t>核保補件通知</w:t>
            </w:r>
          </w:p>
        </w:tc>
        <w:tc>
          <w:tcPr>
            <w:tcW w:type="dxa" w:w="2880"/>
          </w:tcPr>
          <w:p>
            <w:r>
              <w:t>收到要求後 48 小時內</w:t>
            </w:r>
          </w:p>
        </w:tc>
        <w:tc>
          <w:tcPr>
            <w:tcW w:type="dxa" w:w="2880"/>
          </w:tcPr>
          <w:p>
            <w:r>
              <w:t>每週跟進至出單</w:t>
            </w:r>
          </w:p>
        </w:tc>
      </w:tr>
      <w:tr>
        <w:tc>
          <w:tcPr>
            <w:tcW w:type="dxa" w:w="2880"/>
          </w:tcPr>
          <w:p>
            <w:r>
              <w:t>保單遞送</w:t>
            </w:r>
          </w:p>
        </w:tc>
        <w:tc>
          <w:tcPr>
            <w:tcW w:type="dxa" w:w="2880"/>
          </w:tcPr>
          <w:p>
            <w:r>
              <w:t>發出後 7 天內</w:t>
            </w:r>
          </w:p>
        </w:tc>
        <w:tc>
          <w:tcPr>
            <w:tcW w:type="dxa" w:w="2880"/>
          </w:tcPr>
          <w:p>
            <w:r>
              <w:t>說明 21 天冷靜期</w:t>
            </w:r>
          </w:p>
        </w:tc>
      </w:tr>
      <w:tr>
        <w:tc>
          <w:tcPr>
            <w:tcW w:type="dxa" w:w="2880"/>
          </w:tcPr>
          <w:p>
            <w:r>
              <w:t>出單後首次回訪</w:t>
            </w:r>
          </w:p>
        </w:tc>
        <w:tc>
          <w:tcPr>
            <w:tcW w:type="dxa" w:w="2880"/>
          </w:tcPr>
          <w:p>
            <w:r>
              <w:t>30 天內</w:t>
            </w:r>
          </w:p>
        </w:tc>
        <w:tc>
          <w:tcPr>
            <w:tcW w:type="dxa" w:w="2880"/>
          </w:tcPr>
          <w:p>
            <w:r>
              <w:t>確認保障理解程度</w:t>
            </w:r>
          </w:p>
        </w:tc>
      </w:tr>
    </w:tbl>
    <w:p>
      <w:r>
        <w:t>附註：本 SOP 由營運及合規部聯合製訂，與《承保商專業守則》及公司代理人合規手冊一併適用。如有修訂，以合規部最新通告為準。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