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60"/>
        <w:jc w:val="center"/>
      </w:pPr>
      <w:r>
        <w:rPr>
          <w:rFonts w:ascii="Calibri" w:hAnsi="Calibri" w:eastAsia="微软雅黑"/>
          <w:b/>
          <w:i w:val="0"/>
          <w:color w:val="555555"/>
          <w:sz w:val="24"/>
        </w:rPr>
        <w:t>聆心</w:t>
      </w:r>
    </w:p>
    <w:p>
      <w:pPr>
        <w:spacing w:before="0" w:after="80"/>
        <w:jc w:val="center"/>
      </w:pPr>
      <w:r>
        <w:rPr>
          <w:rFonts w:ascii="Calibri" w:hAnsi="Calibri" w:eastAsia="微软雅黑"/>
          <w:b/>
          <w:i w:val="0"/>
          <w:color w:val="1F3864"/>
          <w:sz w:val="52"/>
        </w:rPr>
        <w:t>聆心平台设计方案书</w:t>
      </w:r>
    </w:p>
    <w:p>
      <w:pPr>
        <w:spacing w:before="0" w:after="360"/>
        <w:jc w:val="center"/>
      </w:pPr>
      <w:r>
        <w:rPr>
          <w:rFonts w:ascii="Calibri" w:hAnsi="Calibri" w:eastAsia="微软雅黑"/>
          <w:b w:val="0"/>
          <w:i w:val="0"/>
          <w:color w:val="555555"/>
          <w:sz w:val="26"/>
        </w:rPr>
        <w:t>高校辅导员 AI 减负与心理预警一体化平台</w:t>
      </w:r>
    </w:p>
    <w:p>
      <w:pPr>
        <w:spacing w:before="0" w:after="400"/>
        <w:jc w:val="center"/>
        <w:pBdr>
          <w:bottom w:val="single" w:sz="6" w:space="1" w:color="B8C4D2"/>
        </w:pBdr>
      </w:pPr>
    </w:p>
    <w:tbl>
      <w:tblPr>
        <w:tblW w:type="dxa" w:w="6912"/>
        <w:jc w:val="left"/>
        <w:tblLayout w:type="fixed"/>
        <w:tblLook w:firstColumn="1" w:firstRow="1" w:lastColumn="0" w:lastRow="0" w:noHBand="0" w:noVBand="1" w:val="04A0"/>
        <w:tblInd w:w="36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28"/>
        <w:gridCol w:w="5184"/>
      </w:tblGrid>
      <w:tr>
        <w:tc>
          <w:tcPr>
            <w:tcW w:type="dxa" w:w="1728"/>
            <w:vAlign w:val="center"/>
          </w:tcPr>
          <w:p>
            <w:pPr>
              <w:spacing w:after="100" w:before="100"/>
              <w:jc w:val="righ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1"/>
              </w:rPr>
              <w:t>项目名称</w:t>
            </w:r>
          </w:p>
        </w:tc>
        <w:tc>
          <w:tcPr>
            <w:tcW w:type="dxa" w:w="5184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聆心平台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before="100"/>
              <w:jc w:val="righ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1"/>
              </w:rPr>
              <w:t>文档版本</w:t>
            </w:r>
          </w:p>
        </w:tc>
        <w:tc>
          <w:tcPr>
            <w:tcW w:type="dxa" w:w="5184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v1.0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before="100"/>
              <w:jc w:val="righ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1"/>
              </w:rPr>
              <w:t>文档状态</w:t>
            </w:r>
          </w:p>
        </w:tc>
        <w:tc>
          <w:tcPr>
            <w:tcW w:type="dxa" w:w="5184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评审稿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before="100"/>
              <w:jc w:val="righ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1"/>
              </w:rPr>
              <w:t>编制日期</w:t>
            </w:r>
          </w:p>
        </w:tc>
        <w:tc>
          <w:tcPr>
            <w:tcW w:type="dxa" w:w="5184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2026-08-21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before="100"/>
              <w:jc w:val="righ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1"/>
              </w:rPr>
              <w:t>适用对象</w:t>
            </w:r>
          </w:p>
        </w:tc>
        <w:tc>
          <w:tcPr>
            <w:tcW w:type="dxa" w:w="5184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评审、立项、实施与验收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文档修订记录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2"/>
        <w:gridCol w:w="1728"/>
        <w:gridCol w:w="5040"/>
        <w:gridCol w:w="1440"/>
      </w:tblGrid>
      <w:tr>
        <w:trPr>
          <w:tblHeader w:val="true"/>
        </w:trPr>
        <w:tc>
          <w:tcPr>
            <w:tcW w:type="dxa" w:w="1152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日期</w:t>
            </w:r>
          </w:p>
        </w:tc>
        <w:tc>
          <w:tcPr>
            <w:tcW w:type="dxa" w:w="5040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修订说明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编制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v1.0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2026-08-21</w:t>
            </w:r>
          </w:p>
        </w:tc>
        <w:tc>
          <w:tcPr>
            <w:tcW w:type="dxa" w:w="504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形成设计方案书初稿，覆盖需求、设计与测试结果。</w:t>
            </w:r>
          </w:p>
        </w:tc>
        <w:tc>
          <w:tcPr>
            <w:tcW w:type="dxa" w:w="1440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项目组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目录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1 项目概述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2 需求分析报告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2.1 建设背景与问题分析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2.2 用户角色与核心诉求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2.3 功能需求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2.4 非功能需求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2.5 关键业务流程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2.6 需求验收标准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3 设计说明书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3.1 设计原则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3.2 总体架构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3.3 技术选型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3.4 功能模块设计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3.5 数据模型设计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3.6 接口与消息设计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3.7 安全与合规设计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3.8 前端与交互设计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4 测试方案与结果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4.1 测试策略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4.2 测试环境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4.3 功能测试用例与结果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4.4 自动化测试结果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4.5 情绪识别专项评测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4.6 安全与兼容性测试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4.7 缺陷回归说明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4.8 测试结论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5 部署与运行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6 风险与改进路线</w:t>
      </w:r>
    </w:p>
    <w:p>
      <w:pPr>
        <w:spacing w:before="0" w:after="4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7 结论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 项目概述</w:t>
      </w:r>
    </w:p>
    <w:p>
      <w:pPr>
        <w:spacing w:before="0" w:after="80" w:line="276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系统定位：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面向高校辅导员、学工处、学生和超级管理员的AI减负与心理预警一体化平台。</w:t>
      </w:r>
    </w:p>
    <w:p>
      <w:pPr>
        <w:spacing w:before="0" w:after="80" w:line="276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建设目标：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实现辅导员文书减负、学生心理风险主动预警、跨角色危机工单闭环，以及工程可交付、可演示、可测试。</w:t>
      </w:r>
    </w:p>
    <w:p>
      <w:pPr>
        <w:spacing w:before="0" w:after="80" w:line="276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建设范围：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覆盖17个主要功能页面，包含师生通讯、谈心记录、班会策划、公文写作、情绪网络图、视频实时情绪、AI数字人、心理测评、预约咨询、风险预警和危机工单等。</w:t>
      </w:r>
    </w:p>
    <w:p>
      <w:pPr>
        <w:spacing w:before="0" w:after="80" w:line="276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关键说明：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系统定位为心理健康教育、陪伴与预警辅助工具，不替代心理咨询师或医生的专业诊断。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 需求分析报告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2.1 建设背景与问题分析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高校心理健康工作强调“预防为主、及时干预、规范处置”。实际工作中，辅导员既要处理大量谈心记录、班会策划和行政文书，又要从分散的谈话、测评、聊天和视频通话中识别潜在风险。传统方式存在四类问题：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文书负担重：谈心、班会、公文等重复性材料耗费大量时间，压缩面对面陪伴。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风险线索分散：测评、聊天、语音、表情和谈话记录各自独立，难以形成完整风险画像。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危机处置不闭环：发现问题后，跨部门指派、处置和复核缺乏统一载体，责任边界不清。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数据与安全要求高：心理健康数据属于敏感个人信息，需要权限隔离、访问审计和隐私保护。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2.2 用户角色与核心诉求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84"/>
        <w:gridCol w:w="3600"/>
        <w:gridCol w:w="4176"/>
      </w:tblGrid>
      <w:tr>
        <w:trPr>
          <w:tblHeader w:val="true"/>
        </w:trPr>
        <w:tc>
          <w:tcPr>
            <w:tcW w:type="dxa" w:w="1584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角色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核心诉求</w:t>
            </w:r>
          </w:p>
        </w:tc>
        <w:tc>
          <w:tcPr>
            <w:tcW w:type="dxa" w:w="4176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主要关注点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超级管理员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系统运行、账号与权限、全局监控</w:t>
            </w:r>
          </w:p>
        </w:tc>
        <w:tc>
          <w:tcPr>
            <w:tcW w:type="dxa" w:w="417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安全、审计、数据一致性与可维护性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学工处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全校风险总览、危机工单分派、处置闭环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跨学院协同、责任追踪、处理时效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辅导员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学生状态掌握、文书减负、主动预警</w:t>
            </w:r>
          </w:p>
        </w:tc>
        <w:tc>
          <w:tcPr>
            <w:tcW w:type="dxa" w:w="417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本人学生范围、风险优先级、待办提醒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便捷求助、测评预约、离线和危机陪伴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可用性、隐私、及时响应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表2-1 用户角色与核心诉求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2.3 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28"/>
        <w:gridCol w:w="6336"/>
        <w:gridCol w:w="1296"/>
      </w:tblGrid>
      <w:tr>
        <w:trPr>
          <w:tblHeader w:val="true"/>
        </w:trPr>
        <w:tc>
          <w:tcPr>
            <w:tcW w:type="dxa" w:w="1728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6336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功能需求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身份与权限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多角色登录、JWT认证、辅导员数据隔离、操作审计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心理测评</w:t>
            </w:r>
          </w:p>
        </w:tc>
        <w:tc>
          <w:tcPr>
            <w:tcW w:type="dxa" w:w="633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PHQ-9、GAD-7、ISI三量表，自动计分分级，第9项高危预警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风险预警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多源风险回写、状态聚合取最高、证据时间线、预警状态机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危机工单</w:t>
            </w:r>
          </w:p>
        </w:tc>
        <w:tc>
          <w:tcPr>
            <w:tcW w:type="dxa" w:w="633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跨角色查看、指派、关闭，关闭后重算风险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视频实时情绪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WebRTC通话、人脸/语音/文本融合、通话总结回写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AI数字人</w:t>
            </w:r>
          </w:p>
        </w:tc>
        <w:tc>
          <w:tcPr>
            <w:tcW w:type="dxa" w:w="633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离线回复、危机识别、AI身份标注、TTS、值班日志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情绪网络图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按学院/班级/风险聚类、搜索筛选、节点跳转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预约咨询</w:t>
            </w:r>
          </w:p>
        </w:tc>
        <w:tc>
          <w:tcPr>
            <w:tcW w:type="dxa" w:w="633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预约、确认、待办生成、完成沉淀谈心记录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知识库</w:t>
            </w:r>
          </w:p>
        </w:tc>
        <w:tc>
          <w:tcPr>
            <w:tcW w:type="dxa" w:w="633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混合RAG检索、文档上传/查看/删除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通讯与文书</w:t>
            </w:r>
          </w:p>
        </w:tc>
        <w:tc>
          <w:tcPr>
            <w:tcW w:type="dxa" w:w="633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师生消息、谈心记录、班会策划、公文写作、打印导出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表2-2 主要功能需求与优先级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2.4 非功能需求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安全：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密码哈希、令牌黑名单、登录限流、RBAC权限、XSS防护、文件类型白名单。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隐私：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语音情绪模型支持本地推理，视频与音频默认不落盘，敏感数据最小化授权。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性能：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常规页面和接口响应满足演示与校内试点需求，关键操作失败时前端明确提示。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可用性：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模型或外部API不可用时自动降级，核心业务不因单个模型缺失而中断。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可测试：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核心闭环、权限、边界和前端关键页面均可自动化验证。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可部署：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提供一键启动、确定性演示数据、环境变量配置和部署安全说明。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2.5 关键业务流程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平台的核心业务闭环如下：</w:t>
      </w:r>
    </w:p>
    <w:p>
      <w:pPr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1. 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采集：学生完成心理测评、发起聊天或视频通话，系统同步采集量表答案、文本、语音和面部表情。</w:t>
      </w:r>
    </w:p>
    <w:p>
      <w:pPr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2. 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研判：情绪引擎对多模态信号进行识别，输出情绪类型、置信度、强度和风险等级。</w:t>
      </w:r>
    </w:p>
    <w:p>
      <w:pPr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3. 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聚合：测评、谈心、视频、数字人和预警处置统一回写学生风险，采用取最高风险不降级策略。</w:t>
      </w:r>
    </w:p>
    <w:p>
      <w:pPr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4. 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预警：达到高危阈值时生成预警记录，形成风险证据时间线，支持待处理、已确认、已解决状态流转。</w:t>
      </w:r>
    </w:p>
    <w:p>
      <w:pPr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5. 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危机处置：自伤、自杀等高危线索进入危机工单中心，由学工处查看、指派和关闭。</w:t>
      </w:r>
    </w:p>
    <w:p>
      <w:pPr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 xml:space="preserve">6. 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复核归档：处置完成后重新计算学生风险，所有操作与证据可追溯。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2.6 需求验收标准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核心闭环可从测评、谈心、视频、数字人到危机工单完整走通。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辅导员只能访问本人管辖学生，跨学生访问被拒绝或返回空数据。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PHQ-9第9项得分达到阈值时自动生成高危预警；未命中第9项但量表总分偏高时按规则生成中风险。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预警状态机、危机工单指派与关闭、预约联动待办等关键业务通过自动化回归。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登录页、辅导员工作台、学生测评等核心页面渲染成功，无白屏。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登录账号、学生数量、网络图统计和数据库外键完整性校验全部通过。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 设计说明书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3.1 设计原则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安全保守：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心理风险研判采用宁高勿漏策略，风险只向更高级别聚合。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可追溯：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关键操作写入审计日志，风险变化保存证据来源、操作人和时间。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角色隔离：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权限控制同时覆盖接口层和数据层，避免越权访问。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降级可用：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外部模型不可用时以规则、声学特征或可理解回复兜底。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模块化：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前后端按业务域拆分，降低维护和回归风险。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3.2 总体架构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96"/>
        <w:gridCol w:w="3888"/>
        <w:gridCol w:w="4176"/>
      </w:tblGrid>
      <w:tr>
        <w:trPr>
          <w:tblHeader w:val="true"/>
        </w:trPr>
        <w:tc>
          <w:tcPr>
            <w:tcW w:type="dxa" w:w="1296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层级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技术/组件</w:t>
            </w:r>
          </w:p>
        </w:tc>
        <w:tc>
          <w:tcPr>
            <w:tcW w:type="dxa" w:w="4176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主要职责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表现层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Vue 3 SPA、ECharts、Socket.IO、WebRTC</w:t>
            </w:r>
          </w:p>
        </w:tc>
        <w:tc>
          <w:tcPr>
            <w:tcW w:type="dxa" w:w="417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页面交互、数据可视化、实时通讯、视频通话</w:t>
            </w:r>
          </w:p>
        </w:tc>
      </w:tr>
      <w:tr>
        <w:tc>
          <w:tcPr>
            <w:tcW w:type="dxa" w:w="1296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接口层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Flask REST API、Socket.IO事件、RBAC装饰器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业务路由、鉴权、参数校验、实时事件分发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服务层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prompt_engine、emotion_engine、rag_engine、digital_human、realtime_emotion</w:t>
            </w:r>
          </w:p>
        </w:tc>
        <w:tc>
          <w:tcPr>
            <w:tcW w:type="dxa" w:w="417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文本生成、情绪识别、知识检索、数字人与实时融合</w:t>
            </w:r>
          </w:p>
        </w:tc>
      </w:tr>
      <w:tr>
        <w:tc>
          <w:tcPr>
            <w:tcW w:type="dxa" w:w="1296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数据层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SQLAlchemy、SQLite、ChromaDB、文件存储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业务数据持久化、向量索引、模型与文件管理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模型层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通义千问、emotion2vec、YOLOv8-face、transformers FER</w:t>
            </w:r>
          </w:p>
        </w:tc>
        <w:tc>
          <w:tcPr>
            <w:tcW w:type="dxa" w:w="417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大模型生成、语音情绪、人脸检测与表情识别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表3-1 系统分层架构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3.3 技术选型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40"/>
        <w:gridCol w:w="3456"/>
        <w:gridCol w:w="4464"/>
      </w:tblGrid>
      <w:tr>
        <w:trPr>
          <w:tblHeader w:val="true"/>
        </w:trPr>
        <w:tc>
          <w:tcPr>
            <w:tcW w:type="dxa" w:w="1440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类别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选型</w:t>
            </w:r>
          </w:p>
        </w:tc>
        <w:tc>
          <w:tcPr>
            <w:tcW w:type="dxa" w:w="4464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选择理由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后端</w:t>
            </w:r>
          </w:p>
        </w:tc>
        <w:tc>
          <w:tcPr>
            <w:tcW w:type="dxa" w:w="345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Python 3.10+ / Flask 3 / SQLAlchemy 2</w:t>
            </w:r>
          </w:p>
        </w:tc>
        <w:tc>
          <w:tcPr>
            <w:tcW w:type="dxa" w:w="446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开发效率高、组件成熟、便于快速构建REST API</w:t>
            </w:r>
          </w:p>
        </w:tc>
      </w:tr>
      <w:tr>
        <w:tc>
          <w:tcPr>
            <w:tcW w:type="dxa" w:w="1440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前端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Vue 3 + ECharts + Socket.IO + WebRTC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SPA交互流畅，支持网络图、实时状态和视频通话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数据存储</w:t>
            </w:r>
          </w:p>
        </w:tc>
        <w:tc>
          <w:tcPr>
            <w:tcW w:type="dxa" w:w="345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SQLite + SQLAlchemy + ChromaDB</w:t>
            </w:r>
          </w:p>
        </w:tc>
        <w:tc>
          <w:tcPr>
            <w:tcW w:type="dxa" w:w="446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演示部署轻量，向量检索支撑知识库</w:t>
            </w:r>
          </w:p>
        </w:tc>
      </w:tr>
      <w:tr>
        <w:tc>
          <w:tcPr>
            <w:tcW w:type="dxa" w:w="1440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大模型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通义千问 qwen-plus / qwen-vl-plus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中文能力稳定，支持文本生成与图片理解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语音情绪</w:t>
            </w:r>
          </w:p>
        </w:tc>
        <w:tc>
          <w:tcPr>
            <w:tcW w:type="dxa" w:w="345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emotion2vec_plus_large / FunASR</w:t>
            </w:r>
          </w:p>
        </w:tc>
        <w:tc>
          <w:tcPr>
            <w:tcW w:type="dxa" w:w="446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开源本地推理，减少音频外传</w:t>
            </w:r>
          </w:p>
        </w:tc>
      </w:tr>
      <w:tr>
        <w:tc>
          <w:tcPr>
            <w:tcW w:type="dxa" w:w="1440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人脸情绪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YOLOv8n-face + transformers FER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兼顾人脸检测速度与表情分类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测试</w:t>
            </w:r>
          </w:p>
        </w:tc>
        <w:tc>
          <w:tcPr>
            <w:tcW w:type="dxa" w:w="345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pytest + headless Edge</w:t>
            </w:r>
          </w:p>
        </w:tc>
        <w:tc>
          <w:tcPr>
            <w:tcW w:type="dxa" w:w="446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后端回归与前端页面冒烟双重保障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表3-2 技术选型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3.4 功能模块设计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28"/>
        <w:gridCol w:w="4031"/>
        <w:gridCol w:w="3600"/>
      </w:tblGrid>
      <w:tr>
        <w:trPr>
          <w:tblHeader w:val="true"/>
        </w:trPr>
        <w:tc>
          <w:tcPr>
            <w:tcW w:type="dxa" w:w="1728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关键功能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数据交互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认证与权限</w:t>
            </w:r>
          </w:p>
        </w:tc>
        <w:tc>
          <w:tcPr>
            <w:tcW w:type="dxa" w:w="4031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登录、登出、令牌黑名单、角色与数据隔离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users、token_blacklist、system_logs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心理测评</w:t>
            </w:r>
          </w:p>
        </w:tc>
        <w:tc>
          <w:tcPr>
            <w:tcW w:type="dxa" w:w="4031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PHQ-9/GAD-7/ISI自动计分与风险回写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assessment_results、students、alert_logs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预警管理</w:t>
            </w:r>
          </w:p>
        </w:tc>
        <w:tc>
          <w:tcPr>
            <w:tcW w:type="dxa" w:w="4031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风险聚合、证据时间线、预警状态机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student_risk_evidence、alert_logs、students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危机工单</w:t>
            </w:r>
          </w:p>
        </w:tc>
        <w:tc>
          <w:tcPr>
            <w:tcW w:type="dxa" w:w="4031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查看、指派、升级、关闭、关闭后重算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alert_logs、students、system_logs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视频实时情绪</w:t>
            </w:r>
          </w:p>
        </w:tc>
        <w:tc>
          <w:tcPr>
            <w:tcW w:type="dxa" w:w="4031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WebRTC信令、多模态融合、通话总结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emotion_logs、students、reminders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AI数字人</w:t>
            </w:r>
          </w:p>
        </w:tc>
        <w:tc>
          <w:tcPr>
            <w:tcW w:type="dxa" w:w="4031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离线回复、危机识别、TTS、值班日志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digital_human_settings、digital_human_logs、messages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预约与待办</w:t>
            </w:r>
          </w:p>
        </w:tc>
        <w:tc>
          <w:tcPr>
            <w:tcW w:type="dxa" w:w="4031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预约确认、待办生成、谈心记录沉淀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appointments、todos、student_profiles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知识库</w:t>
            </w:r>
          </w:p>
        </w:tc>
        <w:tc>
          <w:tcPr>
            <w:tcW w:type="dxa" w:w="4031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文档管理、向量+BM25+新鲜度检索</w:t>
            </w:r>
          </w:p>
        </w:tc>
        <w:tc>
          <w:tcPr>
            <w:tcW w:type="dxa" w:w="3600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ChromaDB、knowledge_documents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表3-3 功能模块设计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3.5 数据模型设计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数据库包含用户、学生、风险证据、情绪日志、预警、测评、预约、待办、消息、数字人和审计等14类核心表。学生风险不单独依赖单一记录，而由student_risk_evidence按来源聚合，保留来源、等级、描述、操作人和时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84"/>
        <w:gridCol w:w="3888"/>
        <w:gridCol w:w="3888"/>
      </w:tblGrid>
      <w:tr>
        <w:trPr>
          <w:tblHeader w:val="true"/>
        </w:trPr>
        <w:tc>
          <w:tcPr>
            <w:tcW w:type="dxa" w:w="1584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数据域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主要数据表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关键说明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用户与权限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users、students、user_presence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三级教师角色、学生归属辅导员、在线状态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风险评估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student_risk_evidence、alert_logs、emotion_trackers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多源证据、风险聚合、预警审计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业务协同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messages、appointments、reminders、todos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师生消息、预约、提醒与待办联动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心理测评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assessment_results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PHQ-9、GAD-7、ISI分数与等级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谈话与档案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conversation_records、student_profiles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谈心记录、结构化总结与跟进档案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数字人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digital_human_settings、digital_human_logs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人格化设置、AI回复与危机日志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安全审计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system_logs、token_blacklist</w:t>
            </w:r>
          </w:p>
        </w:tc>
        <w:tc>
          <w:tcPr>
            <w:tcW w:type="dxa" w:w="3888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操作日志与登出令牌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表3-4 核心数据域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3.6 接口与消息设计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平台采用REST JSON接口处理业务请求，Socket.IO处理在线状态、消息、预警和视频通话信令。接口统一使用JWT鉴权，敏感操作增加角色校验与数据归属校验。代表性接口如下：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744"/>
        <w:gridCol w:w="1152"/>
        <w:gridCol w:w="4464"/>
      </w:tblGrid>
      <w:tr>
        <w:trPr>
          <w:tblHeader w:val="true"/>
        </w:trPr>
        <w:tc>
          <w:tcPr>
            <w:tcW w:type="dxa" w:w="3744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接口</w:t>
            </w:r>
          </w:p>
        </w:tc>
        <w:tc>
          <w:tcPr>
            <w:tcW w:type="dxa" w:w="1152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方法</w:t>
            </w:r>
          </w:p>
        </w:tc>
        <w:tc>
          <w:tcPr>
            <w:tcW w:type="dxa" w:w="4464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/api/auth/login</w:t>
            </w:r>
          </w:p>
        </w:tc>
        <w:tc>
          <w:tcPr>
            <w:tcW w:type="dxa" w:w="115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446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用户登录并返回令牌</w:t>
            </w:r>
          </w:p>
        </w:tc>
      </w:tr>
      <w:tr>
        <w:tc>
          <w:tcPr>
            <w:tcW w:type="dxa" w:w="374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/api/assessment/submit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提交测评并计算等级与风险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/api/alert/list</w:t>
            </w:r>
          </w:p>
        </w:tc>
        <w:tc>
          <w:tcPr>
            <w:tcW w:type="dxa" w:w="115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446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按角色返回预警列表</w:t>
            </w:r>
          </w:p>
        </w:tc>
      </w:tr>
      <w:tr>
        <w:tc>
          <w:tcPr>
            <w:tcW w:type="dxa" w:w="374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/api/alert/acknowledge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确认预警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/api/alert/resolve</w:t>
            </w:r>
          </w:p>
        </w:tc>
        <w:tc>
          <w:tcPr>
            <w:tcW w:type="dxa" w:w="115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446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解决预警并重算风险</w:t>
            </w:r>
          </w:p>
        </w:tc>
      </w:tr>
      <w:tr>
        <w:tc>
          <w:tcPr>
            <w:tcW w:type="dxa" w:w="374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/api/crisis/list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危机工单列表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/api/crisis/assign</w:t>
            </w:r>
          </w:p>
        </w:tc>
        <w:tc>
          <w:tcPr>
            <w:tcW w:type="dxa" w:w="115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446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指派危机工单</w:t>
            </w:r>
          </w:p>
        </w:tc>
      </w:tr>
      <w:tr>
        <w:tc>
          <w:tcPr>
            <w:tcW w:type="dxa" w:w="374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/api/conversation/generate-report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生成结构化谈心报告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/api/knowledge/search</w:t>
            </w:r>
          </w:p>
        </w:tc>
        <w:tc>
          <w:tcPr>
            <w:tcW w:type="dxa" w:w="115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4464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知识库混合检索</w:t>
            </w:r>
          </w:p>
        </w:tc>
      </w:tr>
      <w:tr>
        <w:tc>
          <w:tcPr>
            <w:tcW w:type="dxa" w:w="374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/api/system/dashboard</w:t>
            </w:r>
          </w:p>
        </w:tc>
        <w:tc>
          <w:tcPr>
            <w:tcW w:type="dxa" w:w="115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工作台汇总数据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表3-5 代表性接口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3.7 安全与合规设计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密码采用pbkdf2:sha256加盐哈希，登出令牌进入黑名单。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路由级RBAC装饰器与数据级辅导员归属隔离双重控制。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登录失败基于IP进行限流，关键操作写入system_logs。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Markdown通过DOMPurify清理后渲染，防止XSS。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生产环境强制配置SECRET_KEY和HTTPS，敏感数据导出建议脱敏。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明确知情同意、目的限制、危机干预义务和数据删除权。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3.8 前端与交互设计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工作台优先展示学生总数、风险分布、待办和日历，便于辅导员快速进入处置。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情绪网络图以颜色编码风险，按学院、班级聚类，点击节点直达学生聊天。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学生端以测评、预约、个人中心和联系老师为主路径，移动端重点保证可用性。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数字人回复明确标注AI身份，危机内容使用强提醒并进入人工处置。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关键操作失败通过Toast提示，轮询和上传等非关键请求保持静默。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 测试方案与结果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测试策略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测试采用风险导向与分层验证相结合：自动化pytest覆盖后端核心闭环、权限、边界和异常；前端冒烟覆盖关键页面渲染；专项脚本验证账号、数据完整性和情绪识别基线。功能测试与回归测试作为评审交付依据。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测试环境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项目</w:t>
            </w:r>
          </w:p>
        </w:tc>
        <w:tc>
          <w:tcPr>
            <w:tcW w:type="dxa" w:w="7632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环境/版本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操作系统</w:t>
            </w:r>
          </w:p>
        </w:tc>
        <w:tc>
          <w:tcPr>
            <w:tcW w:type="dxa" w:w="763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Windows 10/11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验证Python</w:t>
            </w:r>
          </w:p>
        </w:tc>
        <w:tc>
          <w:tcPr>
            <w:tcW w:type="dxa" w:w="763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Python 3.13.9（项目要求Python 3.10+）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后端</w:t>
            </w:r>
          </w:p>
        </w:tc>
        <w:tc>
          <w:tcPr>
            <w:tcW w:type="dxa" w:w="763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Flask 3、SQLAlchemy 2、SQLite、ChromaDB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浏览器</w:t>
            </w:r>
          </w:p>
        </w:tc>
        <w:tc>
          <w:tcPr>
            <w:tcW w:type="dxa" w:w="763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Microsoft Edge headless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自动化</w:t>
            </w:r>
          </w:p>
        </w:tc>
        <w:tc>
          <w:tcPr>
            <w:tcW w:type="dxa" w:w="763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pytest 8、scripts/verify_test_accounts.py、scripts/smoke_frontend.py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情绪评测</w:t>
            </w:r>
          </w:p>
        </w:tc>
        <w:tc>
          <w:tcPr>
            <w:tcW w:type="dxa" w:w="763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tools/benchmark_emotion.py（文本关键词基线）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表4-1 测试环境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4.3 功能测试用例与结果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84"/>
        <w:gridCol w:w="6192"/>
        <w:gridCol w:w="1584"/>
      </w:tblGrid>
      <w:tr>
        <w:trPr>
          <w:tblHeader w:val="true"/>
        </w:trPr>
        <w:tc>
          <w:tcPr>
            <w:tcW w:type="dxa" w:w="1584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测试项</w:t>
            </w:r>
          </w:p>
        </w:tc>
        <w:tc>
          <w:tcPr>
            <w:tcW w:type="dxa" w:w="6192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验证内容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登录鉴权</w:t>
            </w:r>
          </w:p>
        </w:tc>
        <w:tc>
          <w:tcPr>
            <w:tcW w:type="dxa" w:w="619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未登录访问受保护接口返回401；登录成功返回令牌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权限隔离</w:t>
            </w:r>
          </w:p>
        </w:tc>
        <w:tc>
          <w:tcPr>
            <w:tcW w:type="dxa" w:w="619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辅导员访问非本人学生返回拒绝或空数据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测评高危</w:t>
            </w:r>
          </w:p>
        </w:tc>
        <w:tc>
          <w:tcPr>
            <w:tcW w:type="dxa" w:w="619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PHQ-9第9项得分达到阈值生成high风险与预警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测评中风险</w:t>
            </w:r>
          </w:p>
        </w:tc>
        <w:tc>
          <w:tcPr>
            <w:tcW w:type="dxa" w:w="619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PHQ-9总分≥10但第9项未命中，生成medium风险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预警状态机</w:t>
            </w:r>
          </w:p>
        </w:tc>
        <w:tc>
          <w:tcPr>
            <w:tcW w:type="dxa" w:w="619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待处理→已确认→已解决，重复确认返回400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危机工单</w:t>
            </w:r>
          </w:p>
        </w:tc>
        <w:tc>
          <w:tcPr>
            <w:tcW w:type="dxa" w:w="619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查看、指派、关闭，关闭后重新计算风险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数字人危机</w:t>
            </w:r>
          </w:p>
        </w:tc>
        <w:tc>
          <w:tcPr>
            <w:tcW w:type="dxa" w:w="619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危机语义识别后生成预警并进入值班日志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预约联动</w:t>
            </w:r>
          </w:p>
        </w:tc>
        <w:tc>
          <w:tcPr>
            <w:tcW w:type="dxa" w:w="619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预约确认生成待办，完成生成谈心记录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学生工作台</w:t>
            </w:r>
          </w:p>
        </w:tc>
        <w:tc>
          <w:tcPr>
            <w:tcW w:type="dxa" w:w="619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辅导员工作台显示学生总数、待办和日历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前端关键页</w:t>
            </w:r>
          </w:p>
        </w:tc>
        <w:tc>
          <w:tcPr>
            <w:tcW w:type="dxa" w:w="619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登录、辅导员工作台、学生测评页面正常渲染</w:t>
            </w:r>
          </w:p>
        </w:tc>
        <w:tc>
          <w:tcPr>
            <w:tcW w:type="dxa" w:w="1584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通过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表4-2 功能测试用例与结果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4.4 自动化测试结果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15"/>
        <w:gridCol w:w="2592"/>
        <w:gridCol w:w="4752"/>
      </w:tblGrid>
      <w:tr>
        <w:trPr>
          <w:tblHeader w:val="true"/>
        </w:trPr>
        <w:tc>
          <w:tcPr>
            <w:tcW w:type="dxa" w:w="2015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测试项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结果</w:t>
            </w:r>
          </w:p>
        </w:tc>
        <w:tc>
          <w:tcPr>
            <w:tcW w:type="dxa" w:w="4752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pytest后端回归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70 passed，0 failed</w:t>
            </w:r>
          </w:p>
        </w:tc>
        <w:tc>
          <w:tcPr>
            <w:tcW w:type="dxa" w:w="475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耗时34.72s，覆盖闭环、权限、边界和路由</w:t>
            </w:r>
          </w:p>
        </w:tc>
      </w:tr>
      <w:tr>
        <w:tc>
          <w:tcPr>
            <w:tcW w:type="dxa" w:w="2015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账号与数据校验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61项通过，0项失败</w:t>
            </w:r>
          </w:p>
        </w:tc>
        <w:tc>
          <w:tcPr>
            <w:tcW w:type="dxa" w:w="475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覆盖账号、学生数量、密码、外键和网络图统计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前端冒烟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3项关键页面通过</w:t>
            </w:r>
          </w:p>
        </w:tc>
        <w:tc>
          <w:tcPr>
            <w:tcW w:type="dxa" w:w="4752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登录页、辅导员工作台、学生测评页均渲染成功</w:t>
            </w:r>
          </w:p>
        </w:tc>
      </w:tr>
      <w:tr>
        <w:tc>
          <w:tcPr>
            <w:tcW w:type="dxa" w:w="2015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控制台提示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1项非阻断提示</w:t>
            </w:r>
          </w:p>
        </w:tc>
        <w:tc>
          <w:tcPr>
            <w:tcW w:type="dxa" w:w="4752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页面请求返回401，未影响核心页面验证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表4-3 自动化测试结果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4.5 情绪识别专项评测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文本情绪关键词基线评测覆盖8类情绪、16个样本，结果如下。该结果用于验证文本基线规则的一致性，不代表真实语音或视频情绪模型在开放数据上的最终准确率。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指标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评测模式</w:t>
            </w:r>
          </w:p>
        </w:tc>
        <w:tc>
          <w:tcPr>
            <w:tcW w:type="dxa" w:w="720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文本情绪（关键词基线）</w:t>
            </w:r>
          </w:p>
        </w:tc>
      </w:tr>
      <w:tr>
        <w:tc>
          <w:tcPr>
            <w:tcW w:type="dxa" w:w="2160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样本数量</w:t>
            </w:r>
          </w:p>
        </w:tc>
        <w:tc>
          <w:tcPr>
            <w:tcW w:type="dxa" w:w="7200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情绪类别</w:t>
            </w:r>
          </w:p>
        </w:tc>
        <w:tc>
          <w:tcPr>
            <w:tcW w:type="dxa" w:w="720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低落、压抑、恐惧、悲伤、愤怒、正常、焦虑、高兴，共8类</w:t>
            </w:r>
          </w:p>
        </w:tc>
      </w:tr>
      <w:tr>
        <w:tc>
          <w:tcPr>
            <w:tcW w:type="dxa" w:w="2160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准确率</w:t>
            </w:r>
          </w:p>
        </w:tc>
        <w:tc>
          <w:tcPr>
            <w:tcW w:type="dxa" w:w="7200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100.00%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宏F1</w:t>
            </w:r>
          </w:p>
        </w:tc>
        <w:tc>
          <w:tcPr>
            <w:tcW w:type="dxa" w:w="7200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100.00%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表4-4 文本情绪识别基线评测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4.6 安全与兼容性测试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XSS防护：Markdown内容经DOMPurify清理后渲染。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密码安全：密码哈希、登录限流和登出令牌黑名单均已实现。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文件上传：限制大小与类型，超出大小返回413。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响应式：桌面端主要页面正常，移动端重点支持学生聊天与测评。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降级能力：外部模型不可用时核心页面仍可访问，情绪识别返回可说明的降级结果。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4.7 缺陷回归说明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历史开发中曾出现辅导员工作台接口崩溃和学生端测评、预约、个人中心空白两类P0缺陷，根因分别为待办数据模型缺少学生关系映射、前端模板缺少闭合标签。修复后已纳入回归测试与前端冒烟，当前相关页面与接口均通过验证。</w:t>
      </w:r>
    </w:p>
    <w:p>
      <w:pPr>
        <w:pStyle w:val="Heading2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4.8 测试结论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当前版本达到评审与演示验收条件：核心心理预警闭环可完整走通，权限隔离、危机工单、预约联动和前端关键页面均有自动化或脚本化证据。后端70项测试全绿，账号与数据完整性61项校验通过，未发现阻断性缺陷。后续在真实高校试点阶段需补充真机兼容、多用户并发、真实音频/视频样本和第三方安全测评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 部署与运行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安装依赖并配置.env中的SECRET_KEY与DASHSCOPE_API_KEY。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运行演示一键启动.bat或run_demo.sh，初始化数据库并生成确定性演示数据。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访问http://127.0.0.1:5000，使用管理员、学工处、辅导员或学生测试账号登录。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运行python -m pytest tests/ -q、python scripts/verify_test_accounts.py和python scripts/smoke_frontend.py进行回归验证。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 w:val="0"/>
          <w:i w:val="0"/>
          <w:color w:val="000000"/>
          <w:sz w:val="21"/>
        </w:rPr>
        <w:t>生产环境启用HTTPS，修改默认口令，配置WebRTC所需的TURN服务器，并做好数据库备份。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 风险与改进路线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9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92"/>
        <w:gridCol w:w="2592"/>
        <w:gridCol w:w="4176"/>
      </w:tblGrid>
      <w:tr>
        <w:trPr>
          <w:tblHeader w:val="true"/>
        </w:trPr>
        <w:tc>
          <w:tcPr>
            <w:tcW w:type="dxa" w:w="2592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风险/局限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影响</w:t>
            </w:r>
          </w:p>
        </w:tc>
        <w:tc>
          <w:tcPr>
            <w:tcW w:type="dxa" w:w="4176"/>
            <w:shd w:fill="F2F4F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缓解与改进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情绪识别模型类别映射损失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中文细粒度情绪识别能力受限</w:t>
            </w:r>
          </w:p>
        </w:tc>
        <w:tc>
          <w:tcPr>
            <w:tcW w:type="dxa" w:w="417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接入SenseVoice或细粒度中文情绪模型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人脸表情依赖首次联网下载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无网环境可能返回未知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模型预置、离线缓存和明确降级提示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实时微表情/姿态为规则加权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开放场景泛化需验证</w:t>
            </w:r>
          </w:p>
        </w:tc>
        <w:tc>
          <w:tcPr>
            <w:tcW w:type="dxa" w:w="417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采集真实标注样本并开展第三方评测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文本内容需经云端API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数据完全不出校尚需补强</w:t>
            </w:r>
          </w:p>
        </w:tc>
        <w:tc>
          <w:tcPr>
            <w:tcW w:type="dxa" w:w="4176"/>
            <w:shd w:fill="F8FAFC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引入本地化LLM部署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缺乏真实试点数据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效果指标有待验证</w:t>
            </w:r>
          </w:p>
        </w:tc>
        <w:tc>
          <w:tcPr>
            <w:tcW w:type="dxa" w:w="4176"/>
            <w:vAlign w:val="center"/>
          </w:tcPr>
          <w:p>
            <w:pPr>
              <w:spacing w:before="60" w:after="6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与高校合作试点，统计减负与干预指标</w:t>
            </w:r>
          </w:p>
        </w:tc>
      </w:tr>
    </w:tbl>
    <w:p>
      <w:pPr>
        <w:spacing w:before="80" w:after="120" w:line="240" w:lineRule="auto"/>
      </w:pPr>
      <w:r>
        <w:rPr>
          <w:rFonts w:ascii="Calibri" w:hAnsi="Calibri" w:eastAsia="微软雅黑"/>
          <w:b w:val="0"/>
          <w:i w:val="0"/>
          <w:color w:val="555555"/>
          <w:sz w:val="18"/>
        </w:rPr>
        <w:t>表6-1 风险与改进路线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 结论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聆心平台将AI文书辅助、多模态心理预警、数字人陪伴和危机工单处置整合为统一闭环，兼顾辅导员减负、学生关怀和学校合规管理。当前版本已完成需求分析、架构设计、功能实现、自动化测试与关键专项评测，具备进入演示、评审和高校试点的条件。后续将围绕真实数据验证、模型细粒度提升、本地化部署与效果评估持续迭代。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微软雅黑"/>
        <w:b w:val="0"/>
        <w:i w:val="0"/>
        <w:color w:val="555555"/>
        <w:sz w:val="18"/>
      </w:rPr>
      <w:t xml:space="preserve">聆心平台设计方案书  |  </w:t>
    </w:r>
    <w:r>
      <w:rPr>
        <w:rFonts w:ascii="Calibri" w:hAnsi="Calibri" w:eastAsia="微软雅黑"/>
        <w:b w:val="0"/>
        <w:i w:val="0"/>
        <w:color w:val="555555"/>
        <w:sz w:val="18"/>
      </w:rPr>
      <w:t xml:space="preserve">第 </w:t>
    </w:r>
    <w:r>
      <w:rPr>
        <w:rFonts w:ascii="Calibri" w:hAnsi="Calibri" w:eastAsia="微软雅黑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微软雅黑"/>
        <w:b w:val="0"/>
        <w:i w:val="0"/>
        <w:color w:val="55555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