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pBdr>
          <w:bottom w:val="single" w:sz="6" w:space="1" w:color="1D6A9C"/>
        </w:pBdr>
      </w:pPr>
      <w:r>
        <w:rPr>
          <w:rFonts w:ascii="Microsoft YaHei" w:hAnsi="Microsoft YaHei" w:eastAsia="Microsoft YaHei"/>
          <w:b/>
          <w:color w:val="0F2E4C"/>
          <w:sz w:val="32"/>
        </w:rPr>
        <w:t>探海灵眸 · 演示视频旁白稿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/>
          <w:color w:val="445566"/>
          <w:sz w:val="20"/>
        </w:rPr>
        <w:t>用途</w:t>
      </w:r>
      <w:r>
        <w:rPr>
          <w:rFonts w:ascii="Microsoft YaHei" w:hAnsi="Microsoft YaHei" w:eastAsia="Microsoft YaHei"/>
          <w:b w:val="0"/>
          <w:color w:val="445566"/>
          <w:sz w:val="20"/>
        </w:rPr>
        <w:t>：配音 / 剪映「文本朗读」参考（选男声「解说小帅」或「醇厚男声」，语速 1.0）。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按成片章节顺序收录全部口播内容；片头、第一章与尾声沿用《成片剪辑脚本》原文，第二～五章为最新录屏版旁白。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念法：语速平稳；破折号处稍作停顿；引号内术语（如"未统计""保守"）保持一字不差。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 xml:space="preserve">⚠️ </w:t>
      </w:r>
      <w:r>
        <w:rPr>
          <w:rFonts w:ascii="Microsoft YaHei" w:hAnsi="Microsoft YaHei" w:eastAsia="Microsoft YaHei"/>
          <w:b/>
          <w:color w:val="445566"/>
          <w:sz w:val="20"/>
        </w:rPr>
        <w:t>口径红线</w:t>
      </w:r>
      <w:r>
        <w:rPr>
          <w:rFonts w:ascii="Microsoft YaHei" w:hAnsi="Microsoft YaHei" w:eastAsia="Microsoft YaHei"/>
          <w:b w:val="0"/>
          <w:color w:val="445566"/>
          <w:sz w:val="20"/>
        </w:rPr>
        <w:t>：机械臂相关只能说「受控环境 / 受控测试」，</w:t>
      </w:r>
      <w:r>
        <w:rPr>
          <w:rFonts w:ascii="Microsoft YaHei" w:hAnsi="Microsoft YaHei" w:eastAsia="Microsoft YaHei"/>
          <w:b/>
          <w:color w:val="445566"/>
          <w:sz w:val="20"/>
        </w:rPr>
        <w:t>绝对不能说「真实海域作业」</w:t>
      </w:r>
      <w:r>
        <w:rPr>
          <w:rFonts w:ascii="Microsoft YaHei" w:hAnsi="Microsoft YaHei" w:eastAsia="Microsoft YaHei"/>
          <w:b w:val="0"/>
          <w:color w:val="445566"/>
          <w:sz w:val="20"/>
        </w:rPr>
        <w:t>；不报识别精度。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片头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当海洋垃圾以每年千万吨的速度涌向近岸海域——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探海灵眸。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第一章 · 问题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先看问题。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传统治理里，发现靠人巡、处置靠人工派单——垃圾涌入的速度，远远快过响应的速度。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而 AI 视觉，能在监控画面里第一时间锁定漂浮垃圾——发现这一环，可以不再靠人。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第二章 · 平台 · 一屏观全局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（章节过渡句，可选用）这是我们的答案——一个平台。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这是探海灵眸的监测大屏——近 24 小时 14 起事件、6 台机器人在线，四路岸基摄像头实时回传。右上角是按连江真实海岸线建的 3D 海域：三艘打捞机器人在海上，三台履带式滩涂清除车在岸上滩涂。点开任意一台，类型、状态、电量一屏可见；活跃工单的航线也直接画在海上。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每一条事件都带着识别信息：类别、目标数、置信度、模型版本。我们用双通道对照检验视觉方案——传统视觉看帧间差异，开放词汇模型看语义；这是定性对照，不吹精度。报表每天自动聚合；治理面积一栏是"未统计"——没有数据源我们就不写 0。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第三章 · 人机协同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工单看板覆盖从待派单到已完成的全部状态，支持人工建单和触发补派。点下启动，全链路跑起来：ACK 回执、导航、作业、返航、完成——走的和真机是同一套 MQTT 报文契约：派单指令、ACK、遥测、进度。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智能助手背后是六个专家角色：数据分析、外业调度、环境评估、设备运维、执法文书、应急响应——答案全部来自平台真实数据。知识智能体把资产、本体与决策证据链串在一起，每一次处置都有据可查。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第四章 · 安全底线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注意，运行停住了——建单属于高风险写入操作，智能体必须先拿到人工批准。此刻工单看板：没有任何新工单，批准之前，什么都没有发生。换审批员登录、点下批准——工单这才真正生成。回放整条决策轨迹：每一步都有存证，随时可以逐条复核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如果证据不足呢？这条事件类别模糊、置信度只有 0.46、没有现场照片。多角色协同先查政策依据、再做研判——先找依据，后下结论。结论：证据不足。运行安全终止，不建单、不派单。安全不是靠人盯出来的，是系统自己守住的底线。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（权限彩蛋，可选念）访客只读、操作员只见本辖区、审批员专管放行——权限是分层设计，不是事后补的。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第五章 · 软硬闭环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执行端是可插拔的：仿真执行器、HTTP、ROS 控制栈、幻尔总线舵机——同一套任务与消息契约，换执行器就像换插头。舵机遥测的数字来自舵机本身，是"机械臂真的动了"的硬证据。边缘侧还有一枚边缘盒：连续命中才升级为事件（压误报）、断网补传、幂等去重、遗嘱消息——真实渔港的 4G 信号就是这样，不模拟这条链路，平台的判重逻辑就永远测不到。</w:t>
      </w: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尾声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垃圾少一寸，海岸线就多一分底气。治理成效，看得见。</w:t>
      </w:r>
    </w:p>
    <w:p>
      <w:pPr>
        <w:pStyle w:val="ListNumber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探海灵眸——让每一次近岸垃圾处置，有据可依、有人把关、有迹可循。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445566"/>
        <w:sz w:val="16"/>
      </w:rPr>
      <w:t xml:space="preserve">探海灵眸 Oceanus  · 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