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Oceanus 系统设计文档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版本：v1.0 ｜ 文档类型：技术设计文档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覆盖范围：系统架构、模块划分、接口定义、数据结构、部署与运行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 架构总览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1.1 分层结构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L5 展现层    Vue 3 业务控制台 · 地图可视化大屏 · 报表导出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L4 接入层    FastAPI 路由 · JWT 鉴权 · RBAC 角色校验 · Schema 校验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L3 智能层    治理智能体内核（Run/Step/Tool/Policy/Approval/      │</w:t>
        <w:br/>
        <w:t>│              Replay/Eval）· 可选模型适配器 · 工具执行器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L2 业务层    事件接入 · 时序验证 · 空间派单 · 任务状态机         │</w:t>
        <w:br/>
        <w:t>│              证据归档 · 报表聚合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L1 感知层    独立推理服务（HTTP）· OpenCV 检测器 · ONNX Runtime   │</w:t>
        <w:br/>
        <w:t>│              多 provider 探测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L0 基础设施  PostgreSQL 16 + PostGIS · Redis · EMQX(MQTT) · MinIO │</w:t>
        <w:br/>
        <w:t>│              Docker Compose 编排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1.2 关键设计原则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依赖单向</w:t>
      </w:r>
      <w:r>
        <w:rPr>
          <w:rFonts w:ascii="Microsoft YaHei" w:hAnsi="Microsoft YaHei" w:eastAsia="Microsoft YaHei"/>
          <w:b w:val="0"/>
          <w:color w:val="1B2A38"/>
          <w:sz w:val="21"/>
        </w:rPr>
        <w:t>：上层可依赖下层，下层不得反向依赖上层。推理服务独立进程，不感知平台业务。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失败姿态明确</w:t>
      </w:r>
      <w:r>
        <w:rPr>
          <w:rFonts w:ascii="Microsoft YaHei" w:hAnsi="Microsoft YaHei" w:eastAsia="Microsoft YaHei"/>
          <w:b w:val="0"/>
          <w:color w:val="1B2A38"/>
          <w:sz w:val="21"/>
        </w:rPr>
        <w:t>：每个外部依赖都有降级路径，且降级状态对外可见，不静默失败。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契约先行</w:t>
      </w:r>
      <w:r>
        <w:rPr>
          <w:rFonts w:ascii="Microsoft YaHei" w:hAnsi="Microsoft YaHei" w:eastAsia="Microsoft YaHei"/>
          <w:b w:val="0"/>
          <w:color w:val="1B2A38"/>
          <w:sz w:val="21"/>
        </w:rPr>
        <w:t>：所有跨模块接口以 Schema 冻结，消费方不得依赖生产方的内部结构。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证据内建</w:t>
      </w:r>
      <w:r>
        <w:rPr>
          <w:rFonts w:ascii="Microsoft YaHei" w:hAnsi="Microsoft YaHei" w:eastAsia="Microsoft YaHei"/>
          <w:b w:val="0"/>
          <w:color w:val="1B2A38"/>
          <w:sz w:val="21"/>
        </w:rPr>
        <w:t>：每次关键决策在产生时即写入可审计记录，而非事后补记。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对外依赖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事件接入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backend/app/api/v1/events.py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设备事件接收、Schema 校验、幂等去重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PostgreSQL、Redis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时序验证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backend/app/services/detection/temporal.py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连续命中计数、目标跟踪、冷却窗口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内存状态 / Redis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空间派单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backend/app/services/dispatch/spatial.py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KNN 就近派单、电量/仓容/在线状态加权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PostGIS、设备表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任务状态机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backend/app/services/task/state_machine.py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状态迁移守卫、非法迁移拒绝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PostgreSQL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智能体内核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backend/app/services/agents/runtime.py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Run 生命周期、Planner、Policy、Approval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工具注册表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工具执行器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backend/app/services/agents/tools/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受控工具调用、超时、幂等、审计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业务模块 API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模型适配器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backend/app/services/agents/model_adapter.py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OpenAI 兼容协议客户端，回落策略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外部模型服务（可选）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网关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backend/app/services/mqtt/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任务下发、ACK、进度、遥测、换车重派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EMQX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证据归档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backend/app/services/evidence/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证据帧与影像归档、关联校验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MinIO、PostgreSQL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报表聚合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backend/app/services/report/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日报/月报、单位成本、热力图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PostgreSQL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推理服务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backend/app/services/ai/server.py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/infer/detect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/infer/health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/infer/reload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ONNX Runtime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检测器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ml/detectors/opencv_detector.py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背景建模、颜色/形状规则、ROI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NumPy、OpenCV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模型导出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ml/scripts/export_onnx.py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权重 → ONNX，含 </w:t>
            </w:r>
            <w:r>
              <w:rPr>
                <w:rFonts w:ascii="Consolas" w:hAnsi="Consolas" w:eastAsia="Consolas"/>
                <w:color w:val="B03022"/>
                <w:sz w:val="17"/>
              </w:rPr>
              <w:t>--verify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自检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PyTorch、onnx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2.1 模块间调用约束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事件接入 ──→ 时序验证 ──→ 事件总线(Redis Stream) ──→ 派单/智能体</w:t>
        <w:br/>
        <w:t xml:space="preserve">                                                      │</w:t>
        <w:br/>
        <w:t xml:space="preserve">                                    ┌─────────────────┴──────────┐</w:t>
        <w:br/>
        <w:t xml:space="preserve">                                    ▼                            ▼</w:t>
        <w:br/>
        <w:t xml:space="preserve">                                 任务状态机                  智能体内核</w:t>
        <w:br/>
        <w:t xml:space="preserve">                                    │                            │</w:t>
        <w:br/>
        <w:t xml:space="preserve">                                    └────── MQTT 网关 ───────────┘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  执行端设备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证据归档 ──→ 报表聚合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禁止</w:t>
      </w:r>
      <w:r>
        <w:rPr>
          <w:rFonts w:ascii="Microsoft YaHei" w:hAnsi="Microsoft YaHei" w:eastAsia="Microsoft YaHei"/>
          <w:b w:val="0"/>
          <w:color w:val="1B2A38"/>
          <w:sz w:val="21"/>
        </w:rPr>
        <w:t>：执行端设备直接写数据库；感知层直接触发派单（必须经过时序验证）；报表层反向修改业务数据。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 接口定义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3.1 事件接入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POST `/api/v1/events`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请求 Schema：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device_id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设备唯一标识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seq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integer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必填，≥0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设备侧单调递增序号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event_id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上游事件 ID，与 seq 构成双重判重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category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enum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foam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22"/>
                <w:sz w:val="17"/>
              </w:rPr>
              <w:t>plastic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22"/>
                <w:sz w:val="17"/>
              </w:rPr>
              <w:t>fishing_gear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22"/>
                <w:sz w:val="17"/>
              </w:rPr>
              <w:t>other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confidence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float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必填，0~1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检测置信度（伪置信度，见 §6.2）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bbox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object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{x, y, w, h}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，像素坐标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location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object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{lat, lon}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，缺省时不参与空间派单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captured_at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datetime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必填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采集时间（ISO 8601）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frame_url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证据帧地址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幂等规则：</w:t>
      </w:r>
      <w:r>
        <w:rPr>
          <w:rFonts w:ascii="Consolas" w:hAnsi="Consolas" w:eastAsia="Consolas"/>
          <w:color w:val="B03022"/>
          <w:sz w:val="20"/>
        </w:rPr>
        <w:t>event_id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存在时以其为唯一键；否则以 </w:t>
      </w:r>
      <w:r>
        <w:rPr>
          <w:rFonts w:ascii="Consolas" w:hAnsi="Consolas" w:eastAsia="Consolas"/>
          <w:color w:val="B03022"/>
          <w:sz w:val="20"/>
        </w:rPr>
        <w:t>(device_id, seq)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为唯一键。重复提交返回 </w:t>
      </w:r>
      <w:r>
        <w:rPr>
          <w:rFonts w:ascii="Consolas" w:hAnsi="Consolas" w:eastAsia="Consolas"/>
          <w:color w:val="B03022"/>
          <w:sz w:val="20"/>
        </w:rPr>
        <w:t>200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且标记 </w:t>
      </w:r>
      <w:r>
        <w:rPr>
          <w:rFonts w:ascii="Consolas" w:hAnsi="Consolas" w:eastAsia="Consolas"/>
          <w:color w:val="B03022"/>
          <w:sz w:val="20"/>
        </w:rPr>
        <w:t>deduplicated: true</w:t>
      </w:r>
      <w:r>
        <w:rPr>
          <w:rFonts w:ascii="Microsoft YaHei" w:hAnsi="Microsoft YaHei" w:eastAsia="Microsoft YaHei"/>
          <w:b w:val="0"/>
          <w:color w:val="1B2A38"/>
          <w:sz w:val="21"/>
        </w:rPr>
        <w:t>，</w:t>
      </w:r>
      <w:r>
        <w:rPr>
          <w:rFonts w:ascii="Microsoft YaHei" w:hAnsi="Microsoft YaHei" w:eastAsia="Microsoft YaHei"/>
          <w:b/>
          <w:color w:val="1B2A38"/>
          <w:sz w:val="21"/>
        </w:rPr>
        <w:t>不报错</w:t>
      </w:r>
      <w:r>
        <w:rPr>
          <w:rFonts w:ascii="Microsoft YaHei" w:hAnsi="Microsoft YaHei" w:eastAsia="Microsoft YaHei"/>
          <w:b w:val="0"/>
          <w:color w:val="1B2A38"/>
          <w:sz w:val="21"/>
        </w:rPr>
        <w:t>——设备重传是正常现象。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响应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  <w:r>
        <w:rPr>
          <w:rFonts w:ascii="Consolas" w:hAnsi="Consolas" w:eastAsia="Consolas"/>
          <w:color w:val="B03022"/>
          <w:sz w:val="20"/>
        </w:rPr>
        <w:t>{event_id, status: "accepted"|"deduplicated", next_hint}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3.2 智能体运行时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/api/v1/agents/runtime/status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运行时模式（规则/模型）、工具数、活跃 Run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运行列表，支持分页与状态过滤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/api/v1/agents/runs/{run_id}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运行详情，含终止原因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/api/v1/agents/runs/{run_id}/steps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步骤与工具调用轨迹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手动触发一次治理 Run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/api/v1/agents/runs/{run_id}/cancel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取消活跃 Run（需二次确认）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/api/v1/agents/tools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工具注册表：名称、版本、权限、风险级别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/api/v1/agents/approvals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审批列表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/api/v1/agents/approvals/{approval_id}/decide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审批决策（写权限）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/api/v1/agents/evals/latest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最近一次固定评测结果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约束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  <w:r>
        <w:rPr>
          <w:rFonts w:ascii="Consolas" w:hAnsi="Consolas" w:eastAsia="Consolas"/>
          <w:color w:val="B03022"/>
          <w:sz w:val="20"/>
        </w:rPr>
        <w:t>GET /agents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类接口只返回</w:t>
      </w:r>
      <w:r>
        <w:rPr>
          <w:rFonts w:ascii="Microsoft YaHei" w:hAnsi="Microsoft YaHei" w:eastAsia="Microsoft YaHei"/>
          <w:b/>
          <w:color w:val="1B2A38"/>
          <w:sz w:val="21"/>
        </w:rPr>
        <w:t>真实定义与真实运行状态</w:t>
      </w:r>
      <w:r>
        <w:rPr>
          <w:rFonts w:ascii="Microsoft YaHei" w:hAnsi="Microsoft YaHei" w:eastAsia="Microsoft YaHei"/>
          <w:b w:val="0"/>
          <w:color w:val="1B2A38"/>
          <w:sz w:val="21"/>
        </w:rPr>
        <w:t>，运行状态由 Runtime 与持久化记录计算，不得写死在字典中。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3.3 推理服务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/infer/detect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单帧检测，输入图像，输出检测框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/infer/health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返回实际选中的 provider、模型版本、加载状态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/infer/reload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热加载模型权重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Consolas" w:hAnsi="Consolas" w:eastAsia="Consolas"/>
          <w:color w:val="B03022"/>
          <w:sz w:val="20"/>
        </w:rPr>
        <w:t>/infer/health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响应示例：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{</w:t>
        <w:br/>
        <w:t xml:space="preserve">  "status": "ready",</w:t>
        <w:br/>
        <w:t xml:space="preserve">  "mode": "stub",</w:t>
        <w:br/>
        <w:t xml:space="preserve">  "provider": "CPUExecutionProvider",</w:t>
        <w:br/>
        <w:t xml:space="preserve">  "available_providers": ["TensorrtExecutionProvider", "CUDAExecutionProvider", "CPUExecutionProvider"],</w:t>
        <w:br/>
        <w:t xml:space="preserve">  "model_version": "...",</w:t>
        <w:br/>
        <w:t xml:space="preserve">  "degraded": true,</w:t>
        <w:br/>
        <w:t xml:space="preserve">  "degraded_reason": "model file not found"</w:t>
        <w:br/>
        <w:t>}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降级语义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  <w:r>
        <w:rPr>
          <w:rFonts w:ascii="Consolas" w:hAnsi="Consolas" w:eastAsia="Consolas"/>
          <w:color w:val="B03022"/>
          <w:sz w:val="20"/>
        </w:rPr>
        <w:t>mode=stub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表示模型未就绪，服务仍可响应但结果不可用于业务判定；调用方必须检查该字段。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3.4 MQTT 主题契约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主题方向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载荷要点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下行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seasight/v1/task/assign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task_id、目标经纬度、优先级、截止时间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下行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seasight/v1/task/cancel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task_id、原因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上行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seasight/v1/task/ack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task_id、设备 ID、接受/拒绝、拒绝原因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seasight/v1/task/progress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task_id、阶段、百分比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上行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seasight/v1/telemetry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位置、电量、航速、仓容、故障码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seasight/v1/evidence/upload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task_id、前后影像、清理重量、复核结果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QoS 约定：任务下发与 ACK 使用 QoS 1；进度与遥测使用 QoS 0（允许丢失）；证据上传使用 QoS 1 并校验完整性。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4. 数据结构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4.1 核心业务表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-- 事件表</w:t>
        <w:br/>
        <w:t>t_event (</w:t>
        <w:br/>
        <w:t xml:space="preserve">  id              BIGSERIAL PRIMARY KEY,</w:t>
        <w:br/>
        <w:t xml:space="preserve">  event_id        TEXT UNIQUE,               -- 上游 ID，双重判重之一</w:t>
        <w:br/>
        <w:t xml:space="preserve">  device_id       TEXT NOT NULL,</w:t>
        <w:br/>
        <w:t xml:space="preserve">  seq             BIGINT NOT NULL,</w:t>
        <w:br/>
        <w:t xml:space="preserve">  category        TEXT NOT NULL,             -- foam/plastic/fishing_gear/other</w:t>
        <w:br/>
        <w:t xml:space="preserve">  confidence      FLOAT NOT NULL,</w:t>
        <w:br/>
        <w:t xml:space="preserve">  bbox            JSONB NOT NULL,</w:t>
        <w:br/>
        <w:t xml:space="preserve">  location        geometry(Point, 4326),     -- PostGIS，可空</w:t>
        <w:br/>
        <w:t xml:space="preserve">  frame_url       TEXT,</w:t>
        <w:br/>
        <w:t xml:space="preserve">  captured_at     TIMESTAMPTZ NOT NULL,</w:t>
        <w:br/>
        <w:t xml:space="preserve">  temporal_state  TEXT NOT NULL,             -- candidate/confirmed/suppressed</w:t>
        <w:br/>
        <w:t xml:space="preserve">  created_at      TIMESTAMPTZ NOT NULL,</w:t>
        <w:br/>
        <w:t xml:space="preserve">  UNIQUE (device_id, seq)</w:t>
        <w:br/>
        <w:t>);</w:t>
        <w:br/>
        <w:br/>
        <w:t>-- 任务表</w:t>
        <w:br/>
        <w:t>t_task (</w:t>
        <w:br/>
        <w:t xml:space="preserve">  id              BIGSERIAL PRIMARY KEY,</w:t>
        <w:br/>
        <w:t xml:space="preserve">  task_id         TEXT UNIQUE,</w:t>
        <w:br/>
        <w:t xml:space="preserve">  event_id        TEXT NOT NULL,</w:t>
        <w:br/>
        <w:t xml:space="preserve">  assignee_id     TEXT,                       -- 设备 ID</w:t>
        <w:br/>
        <w:t xml:space="preserve">  priority        INT NOT NULL,</w:t>
        <w:br/>
        <w:t xml:space="preserve">  status          TEXT NOT NULL,              -- pending/assigned/en_route/working/done/failed/cancelled</w:t>
        <w:br/>
        <w:t xml:space="preserve">  target_point    geometry(Point, 4326),</w:t>
        <w:br/>
        <w:t xml:space="preserve">  dispatch_score  FLOAT,                      -- 派单打分</w:t>
        <w:br/>
        <w:t xml:space="preserve">  reject_reason   TEXT,                       -- 未被选中的原因</w:t>
        <w:br/>
        <w:t xml:space="preserve">  created_at      TIMESTAMPTZ NOT NULL,</w:t>
        <w:br/>
        <w:t xml:space="preserve">  updated_at      TIMESTAMPTZ NOT NULL</w:t>
        <w:br/>
        <w:t>);</w:t>
        <w:br/>
        <w:br/>
        <w:t>-- 证据表</w:t>
        <w:br/>
        <w:t>t_evidence (</w:t>
        <w:br/>
        <w:t xml:space="preserve">  id              BIGSERIAL PRIMARY KEY,</w:t>
        <w:br/>
        <w:t xml:space="preserve">  task_id         TEXT NOT NULL,</w:t>
        <w:br/>
        <w:t xml:space="preserve">  kind            TEXT NOT NULL,             -- frame_before/frame_after/weight/review</w:t>
        <w:br/>
        <w:t xml:space="preserve">  object_key      TEXT NOT NULL,              -- MinIO 对象键</w:t>
        <w:br/>
        <w:t xml:space="preserve">  weight_kg       FLOAT,                      -- 清理重量</w:t>
        <w:br/>
        <w:t xml:space="preserve">  reviewed_by     TEXT,</w:t>
        <w:br/>
        <w:t xml:space="preserve">  created_at      TIMESTAMPTZ NOT NULL</w:t>
        <w:br/>
        <w:t>);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4.2 智能体表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t_agent_run (</w:t>
        <w:br/>
        <w:t xml:space="preserve">  run_id              TEXT PRIMARY KEY,</w:t>
        <w:br/>
        <w:t xml:space="preserve">  trigger_type        TEXT NOT NULL,          -- event/manual/schedule</w:t>
        <w:br/>
        <w:t xml:space="preserve">  objective           TEXT NOT NULL,</w:t>
        <w:br/>
        <w:t xml:space="preserve">  status              TEXT NOT NULL,          -- created/planning/waiting_policy/</w:t>
        <w:br/>
        <w:t xml:space="preserve">                                              -- waiting_approval/executing/observing/</w:t>
        <w:br/>
        <w:t xml:space="preserve">                                              -- verifying/succeeded/failed/cancelled/expired</w:t>
        <w:br/>
        <w:t xml:space="preserve">  policy_version      TEXT NOT NULL,</w:t>
        <w:br/>
        <w:t xml:space="preserve">  started_at          TIMESTAMPTZ NOT NULL,</w:t>
        <w:br/>
        <w:t xml:space="preserve">  finished_at         TIMESTAMPTZ,</w:t>
        <w:br/>
        <w:t xml:space="preserve">  termination_reason  TEXT,                   -- 结构化失败原因</w:t>
        <w:br/>
        <w:t xml:space="preserve">  trace_id            TEXT</w:t>
        <w:br/>
        <w:t>);</w:t>
        <w:br/>
        <w:br/>
        <w:t>t_agent_step (</w:t>
        <w:br/>
        <w:t xml:space="preserve">  step_id         TEXT PRIMARY KEY,</w:t>
        <w:br/>
        <w:t xml:space="preserve">  run_id          TEXT NOT NULL REFERENCES t_agent_run(run_id),</w:t>
        <w:br/>
        <w:t xml:space="preserve">  step_no         INT NOT NULL,               -- 重规划产生新 step_no，不覆盖历史</w:t>
        <w:br/>
        <w:t xml:space="preserve">  step_type       TEXT NOT NULL,              -- plan/tool/observe/verify/replan/terminate</w:t>
        <w:br/>
        <w:t xml:space="preserve">  decision_summary TEXT,</w:t>
        <w:br/>
        <w:t xml:space="preserve">  tool_name       TEXT,</w:t>
        <w:br/>
        <w:t xml:space="preserve">  tool_version    TEXT,</w:t>
        <w:br/>
        <w:t xml:space="preserve">  input_hash      TEXT,</w:t>
        <w:br/>
        <w:t xml:space="preserve">  output_hash     TEXT,</w:t>
        <w:br/>
        <w:t xml:space="preserve">  status          TEXT NOT NULL,</w:t>
        <w:br/>
        <w:t xml:space="preserve">  latency_ms      INT,</w:t>
        <w:br/>
        <w:t xml:space="preserve">  error_code      TEXT,</w:t>
        <w:br/>
        <w:t xml:space="preserve">  created_at      TIMESTAMPTZ NOT NULL,</w:t>
        <w:br/>
        <w:t xml:space="preserve">  UNIQUE (run_id, step_no)</w:t>
        <w:br/>
        <w:t>);</w:t>
        <w:br/>
        <w:br/>
        <w:t>t_agent_approval (</w:t>
        <w:br/>
        <w:t xml:space="preserve">  approval_id     TEXT PRIMARY KEY,</w:t>
        <w:br/>
        <w:t xml:space="preserve">  run_id          TEXT NOT NULL,</w:t>
        <w:br/>
        <w:t xml:space="preserve">  requested_action TEXT NOT NULL,</w:t>
        <w:br/>
        <w:t xml:space="preserve">  risk_level      TEXT NOT NULL,</w:t>
        <w:br/>
        <w:t xml:space="preserve">  requested_by    TEXT NOT NULL,</w:t>
        <w:br/>
        <w:t xml:space="preserve">  decided_by      TEXT,</w:t>
        <w:br/>
        <w:t xml:space="preserve">  decision        TEXT,                       -- pending/approved/rejected</w:t>
        <w:br/>
        <w:t xml:space="preserve">  reason          TEXT,</w:t>
        <w:br/>
        <w:t xml:space="preserve">  requested_at    TIMESTAMPTZ NOT NULL,</w:t>
        <w:br/>
        <w:t xml:space="preserve">  decided_at      TIMESTAMPTZ</w:t>
        <w:br/>
        <w:t>);</w:t>
        <w:br/>
        <w:br/>
        <w:t>t_agent_memory (</w:t>
        <w:br/>
        <w:t xml:space="preserve">  memory_id       TEXT PRIMARY KEY,</w:t>
        <w:br/>
        <w:t xml:space="preserve">  memory_type     TEXT NOT NULL,              -- working/episodic/semantic/policy/eval</w:t>
        <w:br/>
        <w:t xml:space="preserve">  scope_type      TEXT NOT NULL,</w:t>
        <w:br/>
        <w:t xml:space="preserve">  scope_id        TEXT,</w:t>
        <w:br/>
        <w:t xml:space="preserve">  content         JSONB NOT NULL,</w:t>
        <w:br/>
        <w:t xml:space="preserve">  confidence      FLOAT,</w:t>
        <w:br/>
        <w:t xml:space="preserve">  source_type     TEXT NOT NULL,              -- fact/inference/human_confirmed</w:t>
        <w:br/>
        <w:t xml:space="preserve">  source_id       TEXT,</w:t>
        <w:br/>
        <w:t xml:space="preserve">  valid_from      TIMESTAMPTZ,</w:t>
        <w:br/>
        <w:t xml:space="preserve">  valid_to        TIMESTAMPTZ,</w:t>
        <w:br/>
        <w:t xml:space="preserve">  created_at      TIMESTAMPTZ NOT NULL</w:t>
        <w:br/>
        <w:t>);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关键约束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  <w:r>
        <w:rPr>
          <w:rFonts w:ascii="Consolas" w:hAnsi="Consolas" w:eastAsia="Consolas"/>
          <w:color w:val="B03022"/>
          <w:sz w:val="20"/>
        </w:rPr>
        <w:t>t_agent_step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的 </w:t>
      </w:r>
      <w:r>
        <w:rPr>
          <w:rFonts w:ascii="Consolas" w:hAnsi="Consolas" w:eastAsia="Consolas"/>
          <w:color w:val="B03022"/>
          <w:sz w:val="20"/>
        </w:rPr>
        <w:t>UNIQUE(run_id, step_no)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配合"重规划产生新 step"的规则，保证历史步骤永不被覆盖。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4.3 数据完整性约束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coverage_area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无来源时为 NULL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列可空，报表层不填 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凭空的 0 会被误读为"无覆盖/无清理"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清理重量必须来自证据表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报表按 </w:t>
            </w:r>
            <w:r>
              <w:rPr>
                <w:rFonts w:ascii="Consolas" w:hAnsi="Consolas" w:eastAsia="Consolas"/>
                <w:color w:val="B03022"/>
                <w:sz w:val="17"/>
              </w:rPr>
              <w:t>t_evidence.weight_kg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聚合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禁止用估算值冒充实测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已完成任务必须有关联证据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闭环率指标按此计算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无证据的"完成"不计入闭环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事件时间与创建时间分离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captured_at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22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双字段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便于识别延迟上报与时钟漂移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4.4 记忆类型与保留策略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保留策略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工作记忆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当前 Run 的计划、步骤、观察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完成本次任务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随 Run 保留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情景记忆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历史类似事件与处理结果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相似案例检索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按业务保留期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语义记忆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点位、潮汐、类别、设备特征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辅助规划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版本化管理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策略记忆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规则、阈值、人工纠正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防止重复错误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必须审批后生效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评测记忆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固定场景、期望轨迹、失败样本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回归测试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永久版本化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记忆写入必须区分 </w:t>
      </w:r>
      <w:r>
        <w:rPr>
          <w:rFonts w:ascii="Consolas" w:hAnsi="Consolas" w:eastAsia="Consolas"/>
          <w:color w:val="B03022"/>
          <w:sz w:val="20"/>
        </w:rPr>
        <w:t>fact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/ </w:t>
      </w:r>
      <w:r>
        <w:rPr>
          <w:rFonts w:ascii="Consolas" w:hAnsi="Consolas" w:eastAsia="Consolas"/>
          <w:color w:val="B03022"/>
          <w:sz w:val="20"/>
        </w:rPr>
        <w:t>inference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/ </w:t>
      </w:r>
      <w:r>
        <w:rPr>
          <w:rFonts w:ascii="Consolas" w:hAnsi="Consolas" w:eastAsia="Consolas"/>
          <w:color w:val="B03022"/>
          <w:sz w:val="20"/>
        </w:rPr>
        <w:t>human_confirmed</w:t>
      </w:r>
      <w:r>
        <w:rPr>
          <w:rFonts w:ascii="Microsoft YaHei" w:hAnsi="Microsoft YaHei" w:eastAsia="Microsoft YaHei"/>
          <w:b w:val="0"/>
          <w:color w:val="1B2A38"/>
          <w:sz w:val="21"/>
        </w:rPr>
        <w:t>，</w:t>
      </w:r>
      <w:r>
        <w:rPr>
          <w:rFonts w:ascii="Microsoft YaHei" w:hAnsi="Microsoft YaHei" w:eastAsia="Microsoft YaHei"/>
          <w:b/>
          <w:color w:val="1B2A38"/>
          <w:sz w:val="21"/>
        </w:rPr>
        <w:t>禁止把模型推断写成事实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5. 智能体工具契约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每个工具必须声明以下字段，缺一不得注册：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name, version, description,</w:t>
        <w:br/>
        <w:t>input_schema, output_schema,</w:t>
        <w:br/>
        <w:t>permission (read | write | destructive),</w:t>
        <w:br/>
        <w:t>risk_level (low | medium | high),</w:t>
        <w:br/>
        <w:t>timeout_ms, idempotency_key,</w:t>
        <w:br/>
        <w:t>audit_event, error_codes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幂等键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关键错误码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event.get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read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event_not_found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device.query_available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read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device_unreachable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dispatch.plan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read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no_candidate_available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task.create_or_merge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write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medium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event_id+window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task_conflict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task.transition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write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medium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task_id+to_status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illegal_transition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mqtt.send_task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write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high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task_id+attempt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mqtt_publish_failed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03022"/>
                <w:sz w:val="17"/>
              </w:rPr>
              <w:t>ack_timeout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mission.observe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read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mission_not_found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human.request_approval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write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medium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run_id+action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approval_rejected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metric.query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read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metric_unavailable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report.generate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write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low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window+type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data_incomplete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5.1 必须人工审批的场景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超出日常策略的距离、成本或设备数量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低置信度事件触发高成本任务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跨乡镇辖区调度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设备故障状态下的强制下发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批量任务、敏感数据导出、阈值修改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5.2 可自动执行但必须留证的场景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普通、低风险、同辖区、满足全部硬约束的派单可自动执行，但必须产生证据：触发来源、策略版本、候选方案与淘汰原因、工具调用结果、最终动作、结果验证与终止原因。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6. 感知层设计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6.1 检测流程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图像输入</w:t>
        <w:br/>
        <w:t xml:space="preserve">  → ROI 约束（只处理水面区域）</w:t>
        <w:br/>
        <w:t xml:space="preserve">  → 背景建模（帧差/统计背景）</w:t>
        <w:br/>
        <w:t xml:space="preserve">  → 双通道提取（白亮通道 / 暗色通道）</w:t>
        <w:br/>
        <w:t xml:space="preserve">  → 形态学开闭运算</w:t>
        <w:br/>
        <w:t xml:space="preserve">  → 轮廓提取与形状过滤</w:t>
        <w:br/>
        <w:t xml:space="preserve">  → 类别规则匹配</w:t>
        <w:br/>
        <w:t xml:space="preserve">  → 输出检测框 + 伪置信度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6.2 伪置信度说明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当前检测器输出的是</w:t>
      </w:r>
      <w:r>
        <w:rPr>
          <w:rFonts w:ascii="Microsoft YaHei" w:hAnsi="Microsoft YaHei" w:eastAsia="Microsoft YaHei"/>
          <w:b/>
          <w:color w:val="1B2A38"/>
          <w:sz w:val="21"/>
        </w:rPr>
        <w:t>基于规则匹配程度的伪置信度</w:t>
      </w:r>
      <w:r>
        <w:rPr>
          <w:rFonts w:ascii="Microsoft YaHei" w:hAnsi="Microsoft YaHei" w:eastAsia="Microsoft YaHei"/>
          <w:b w:val="0"/>
          <w:color w:val="1B2A38"/>
          <w:sz w:val="21"/>
        </w:rPr>
        <w:t>，由前景面积占比、形状规则匹配项数等启发式计算得出，</w:t>
      </w:r>
      <w:r>
        <w:rPr>
          <w:rFonts w:ascii="Microsoft YaHei" w:hAnsi="Microsoft YaHei" w:eastAsia="Microsoft YaHei"/>
          <w:b/>
          <w:color w:val="1B2A38"/>
          <w:sz w:val="21"/>
        </w:rPr>
        <w:t>不是神经网络模型的输出概率</w:t>
      </w:r>
      <w:r>
        <w:rPr>
          <w:rFonts w:ascii="Microsoft YaHei" w:hAnsi="Microsoft YaHei" w:eastAsia="Microsoft YaHei"/>
          <w:b w:val="0"/>
          <w:color w:val="1B2A38"/>
          <w:sz w:val="21"/>
        </w:rPr>
        <w:t>。这是"零数据依赖"路线的必然取舍：它可解释、可纯 CPU 运行，但数值不可与训练模型的置信度直接比较。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6.3 时序验证参数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sample_interval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抽帧间隔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降低无效计算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track_window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目标关联窗口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位置与尺寸的历史匹配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hit_threshold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连续命中次数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达到才升级为可信事件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cooldown_seconds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冷却窗口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同目标不重复生成事件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指标口径</w:t>
      </w:r>
      <w:r>
        <w:rPr>
          <w:rFonts w:ascii="Microsoft YaHei" w:hAnsi="Microsoft YaHei" w:eastAsia="Microsoft YaHei"/>
          <w:b w:val="0"/>
          <w:color w:val="1B2A38"/>
          <w:sz w:val="21"/>
        </w:rPr>
        <w:t>：时序链路误报抑制率 = 被时序环节过滤的检测数 ÷ 输入检测总数。合成海面测试下约 76%。该值</w:t>
      </w:r>
      <w:r>
        <w:rPr>
          <w:rFonts w:ascii="Microsoft YaHei" w:hAnsi="Microsoft YaHei" w:eastAsia="Microsoft YaHei"/>
          <w:b/>
          <w:color w:val="1B2A38"/>
          <w:sz w:val="21"/>
        </w:rPr>
        <w:t>不是</w:t>
      </w:r>
      <w:r>
        <w:rPr>
          <w:rFonts w:ascii="Microsoft YaHei" w:hAnsi="Microsoft YaHei" w:eastAsia="Microsoft YaHei"/>
          <w:b w:val="0"/>
          <w:color w:val="1B2A38"/>
          <w:sz w:val="21"/>
        </w:rPr>
        <w:t>识别精度、召回率或准确率。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6.4 推理服务多 provider 探测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启动 → onnxruntime.get_available_providers()</w:t>
        <w:br/>
        <w:t xml:space="preserve">     → 按 [Tensorrt, CUDA, CPU] 顺序取第一个可用项</w:t>
        <w:br/>
        <w:t xml:space="preserve">     → 装配 InferenceSession</w:t>
        <w:br/>
        <w:t xml:space="preserve">     → 实际 provider 写入 /infer/health</w:t>
        <w:br/>
        <w:t xml:space="preserve">     → 加载失败则 mode=stub 并继续启动（不阻断平台）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把加速卡写死会导致换硬件必须改代码；此设计使"换昇腾"变为替换 provider 的配置动作。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6.5 ONNX 导出参数与昇腾工具链对齐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导出参数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对昇腾 ATC 的意义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dynamic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（固定 batch=1）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ATC 需要静态输入形状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opset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17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需与 CANN 版本算子集对齐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simplify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True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减少算子种类，降低不支持概率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half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False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半精度交下游处理，避免提前转换的兼容问题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imgsz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640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与推理输入尺寸一致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7. 部署与运行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7.1 服务编排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docker-compose.prod.yml 服务清单</w:t>
        <w:br/>
        <w:t>services:</w:t>
        <w:br/>
        <w:t xml:space="preserve">  postgres:   # PostgreSQL 16 + PostGIS</w:t>
        <w:br/>
        <w:t xml:space="preserve">  redis:      # 事件流与缓存</w:t>
        <w:br/>
        <w:t xml:space="preserve">  emqx:       # MQTT Broker（设备接入）</w:t>
        <w:br/>
        <w:t xml:space="preserve">  minio:      # 证据对象存储</w:t>
        <w:br/>
        <w:t xml:space="preserve">  backend:    # FastAPI 主服务</w:t>
        <w:br/>
        <w:t xml:space="preserve">  ai-service: # 推理服务（独立进程）</w:t>
        <w:br/>
        <w:t xml:space="preserve">  frontend:   # 静态资源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7.2 环境变量（节选）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POSTGRES_HOST/PORT/DB/USER/PASSWORD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数据库连接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REDIS_STREAM_EVENTS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事件流键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stream:events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REDIS_CONSUMER_GROUP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消费组名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dispatch-group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AGENT_PERSISTENT_REPOSITORY_ENABLED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是否启用持久化仓储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false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AGENT_REQUIRE_APPROVAL_FOR_WRITE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写操作是否强制审批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true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AGENT_MODEL_ADAPTER_ENABLED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大模型适配器开关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（默认关闭）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AGENT_MODEL_BASE_URL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OpenAI 兼容端点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AI_INPUT_SIZE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推理输入尺寸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640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DISPATCH_MERGE_RADIUS_METERS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任务合并半径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视场景标定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关键</w:t>
      </w:r>
      <w:r>
        <w:rPr>
          <w:rFonts w:ascii="Microsoft YaHei" w:hAnsi="Microsoft YaHei" w:eastAsia="Microsoft YaHei"/>
          <w:b w:val="0"/>
          <w:color w:val="1B2A38"/>
          <w:sz w:val="21"/>
        </w:rPr>
        <w:t>：大模型适配器默认关闭。核心治理闭环不依赖任何外部模型服务。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7.3 本地运行最小步骤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1. 基础设施</w:t>
        <w:br/>
        <w:t>docker compose up -d postgres redis emqx minio</w:t>
        <w:br/>
        <w:br/>
        <w:t># 2. 数据库结构</w:t>
        <w:br/>
        <w:t>#    backend/db/init/*.sql 首次启动自动执行</w:t>
        <w:br/>
        <w:br/>
        <w:t># 3. 后端服务</w:t>
        <w:br/>
        <w:t>cd backend &amp;&amp; python run_server.py --host 127.0.0.1 --port 8000</w:t>
        <w:br/>
        <w:br/>
        <w:t># 4. 推理服务（可选，缺失时平台仍可联调）</w:t>
        <w:br/>
        <w:t>cd backend &amp;&amp; python -m app.services.ai.server</w:t>
        <w:br/>
        <w:br/>
        <w:t># 5. 前端</w:t>
        <w:br/>
        <w:t>cd frontend &amp;&amp; npm install &amp;&amp; npm run dev</w:t>
        <w:br/>
        <w:br/>
        <w:t># 6. 回归验证</w:t>
        <w:br/>
        <w:t>python -m pytest -q          # 自动化测试</w:t>
        <w:br/>
        <w:t>python scripts/run_agent_evals.py     # 智能体固定场景评测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7.4 健康检查与降级可见性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不可用时行为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对外可见性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PostgreSQL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拒绝写入，读接口返回错误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5xx + 日志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Redis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事件流积压，任务下发延迟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队列深度指标 + 告警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EMQX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无法下发任务，转入待发队列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连接状态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MinIO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证据上传失败，任务不可闭环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证据缺失标记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大模型服务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回落到规则模式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runtime.mode = rule_fallback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推理服务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mode = stub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，不产出可用检测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/infer/health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22"/>
                <w:sz w:val="17"/>
              </w:rPr>
              <w:t>degraded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字段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设计原则</w:t>
      </w:r>
      <w:r>
        <w:rPr>
          <w:rFonts w:ascii="Microsoft YaHei" w:hAnsi="Microsoft YaHei" w:eastAsia="Microsoft YaHei"/>
          <w:b w:val="0"/>
          <w:color w:val="1B2A38"/>
          <w:sz w:val="21"/>
        </w:rPr>
        <w:t>：除大模型外，任一关键依赖失效都</w:t>
      </w:r>
      <w:r>
        <w:rPr>
          <w:rFonts w:ascii="Microsoft YaHei" w:hAnsi="Microsoft YaHei" w:eastAsia="Microsoft YaHei"/>
          <w:b/>
          <w:color w:val="1B2A38"/>
          <w:sz w:val="21"/>
        </w:rPr>
        <w:t>不得让系统假装正常</w:t>
      </w:r>
      <w:r>
        <w:rPr>
          <w:rFonts w:ascii="Microsoft YaHei" w:hAnsi="Microsoft YaHei" w:eastAsia="Microsoft YaHei"/>
          <w:b w:val="0"/>
          <w:color w:val="1B2A38"/>
          <w:sz w:val="21"/>
        </w:rPr>
        <w:t>。前端必须显示真实错误与降级状态，禁止展示静态的"在线""运行中"。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8. 验证方式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验证类型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单元与集成测试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pytest -q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业务逻辑、状态机、幂等、契约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契约漂移检查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契约比对脚本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接口 Schema 与文档一致性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智能体固定评测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run_agent_evals.py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27 场景：成功、无设备、工具超时、策略拒绝、审批拒绝、重复触发、模型不可用、步数上限、轨迹完整性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真实状态集成验收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agent_real_state_acceptance.py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真实 HTTP、鉴权、PostgreSQL、审批、幂等、进程重启只读回放（129 项检查）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故障演练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故障注入脚本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健康降级、ACK 启动恢复、孪生闭环、持久化幂等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前端浏览器回归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浏览器自动化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登录、页面读取、权限、取消确认、关闭与刷新恢复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感知评测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evaluate_opencv.py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清单未放行，输出 `not_evaluated`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8.1 评测指标诚实说明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27 场景评测中部分指标低于设计目标：</w:t>
      </w:r>
      <w:r>
        <w:rPr>
          <w:rFonts w:ascii="Consolas" w:hAnsi="Consolas" w:eastAsia="Consolas"/>
          <w:color w:val="B03022"/>
          <w:sz w:val="20"/>
        </w:rPr>
        <w:t>recovery_success_rate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33.3%、</w:t>
      </w:r>
      <w:r>
        <w:rPr>
          <w:rFonts w:ascii="Consolas" w:hAnsi="Consolas" w:eastAsia="Consolas"/>
          <w:color w:val="B03022"/>
          <w:sz w:val="20"/>
        </w:rPr>
        <w:t>invalid_loop_rate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7.4%。该结果保留不修饰，原因：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评测集包含</w:t>
      </w:r>
      <w:r>
        <w:rPr>
          <w:rFonts w:ascii="Microsoft YaHei" w:hAnsi="Microsoft YaHei" w:eastAsia="Microsoft YaHei"/>
          <w:b/>
          <w:color w:val="1B2A38"/>
          <w:sz w:val="21"/>
        </w:rPr>
        <w:t>预期失败的负向场景</w:t>
      </w:r>
      <w:r>
        <w:rPr>
          <w:rFonts w:ascii="Microsoft YaHei" w:hAnsi="Microsoft YaHei" w:eastAsia="Microsoft YaHei"/>
          <w:b w:val="0"/>
          <w:color w:val="1B2A38"/>
          <w:sz w:val="21"/>
        </w:rPr>
        <w:t>，该指标反映"注入故障能否被完整恢复"，不等于正常流程成功率；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团队已完成定位并列为下一迭代优化项；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主动披露弱项并给出定位，比修饰指标更能建立评审信任。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8.2 评测环境隔离性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固定评测在</w:t>
      </w:r>
      <w:r>
        <w:rPr>
          <w:rFonts w:ascii="Microsoft YaHei" w:hAnsi="Microsoft YaHei" w:eastAsia="Microsoft YaHei"/>
          <w:b/>
          <w:color w:val="1B2A38"/>
          <w:sz w:val="21"/>
        </w:rPr>
        <w:t>无网络、无真实模型、无真实设备</w:t>
      </w:r>
      <w:r>
        <w:rPr>
          <w:rFonts w:ascii="Microsoft YaHei" w:hAnsi="Microsoft YaHei" w:eastAsia="Microsoft YaHei"/>
          <w:b w:val="0"/>
          <w:color w:val="1B2A38"/>
          <w:sz w:val="21"/>
        </w:rPr>
        <w:t>条件下运行（</w:t>
      </w:r>
      <w:r>
        <w:rPr>
          <w:rFonts w:ascii="Consolas" w:hAnsi="Consolas" w:eastAsia="Consolas"/>
          <w:color w:val="B03022"/>
          <w:sz w:val="20"/>
        </w:rPr>
        <w:t>network_access=false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model_access=false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device_access=false</w:t>
      </w:r>
      <w:r>
        <w:rPr>
          <w:rFonts w:ascii="Microsoft YaHei" w:hAnsi="Microsoft YaHei" w:eastAsia="Microsoft YaHei"/>
          <w:b w:val="0"/>
          <w:color w:val="1B2A38"/>
          <w:sz w:val="21"/>
        </w:rPr>
        <w:t>），使用内存态设备孪生与注入式假模型客户端。因此该评测证明的是</w:t>
      </w:r>
      <w:r>
        <w:rPr>
          <w:rFonts w:ascii="Microsoft YaHei" w:hAnsi="Microsoft YaHei" w:eastAsia="Microsoft YaHei"/>
          <w:b/>
          <w:color w:val="1B2A38"/>
          <w:sz w:val="21"/>
        </w:rPr>
        <w:t>内核契约、状态机正确性与故障处理能力</w:t>
      </w:r>
      <w:r>
        <w:rPr>
          <w:rFonts w:ascii="Microsoft YaHei" w:hAnsi="Microsoft YaHei" w:eastAsia="Microsoft YaHei"/>
          <w:b w:val="0"/>
          <w:color w:val="1B2A38"/>
          <w:sz w:val="21"/>
        </w:rPr>
        <w:t>，不证明真实业务成功率。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9. 源码结构与阅读指引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为便于评审，按"从主流程到细节"的顺序阅读：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1. 事件入口      backend/app/api/v1/events.py</w:t>
        <w:br/>
        <w:t>2. 时序验证      backend/app/services/detection/temporal.py</w:t>
        <w:br/>
        <w:t>3. 空间派单      backend/app/services/dispatch/spatial.py</w:t>
        <w:br/>
        <w:t>4. 任务状态机    backend/app/services/task/state_machine.py</w:t>
        <w:br/>
        <w:t>5. 智能体内核    backend/app/services/agents/runtime.py</w:t>
        <w:br/>
        <w:t>6. 工具实现      backend/app/services/agents/tools/</w:t>
        <w:br/>
        <w:t>7. MQTT 网关     backend/app/services/mqtt/</w:t>
        <w:br/>
        <w:t>8. 推理服务      backend/app/services/ai/server.py</w:t>
        <w:br/>
        <w:t>9. 检测算法      ml/detectors/opencv_detector.py</w:t>
        <w:br/>
        <w:t>10. 评测场景     backend/tests/agent_evals/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推荐优先阅读第 5 项（智能体内核）——它是本作品的技术核心，也是最能体现设计思路的模块。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10. 已知限制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诚实列出限制比声称完备更有利于长期信任：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检测精度未评测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独立测试集未放行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无法给出真实精度指标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昇腾路径未实测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设计完成，未上真机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国产算力适配无硬件实证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模型未接入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适配器已接线但默认关闭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意图理解与异常解释能力受限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无真实海域验证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未开展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不能声称现场可用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无商业验证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无合同/订单/回款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商业模式为测算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部分恢复指标偏低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见 §8.1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故障恢复能力待增强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每一项限制都对应明确的下一步工作与所需条件</w:t>
      </w:r>
      <w:r>
        <w:rPr>
          <w:rFonts w:ascii="Microsoft YaHei" w:hAnsi="Microsoft YaHei" w:eastAsia="Microsoft YaHei"/>
          <w:b w:val="0"/>
          <w:color w:val="1B2A38"/>
          <w:sz w:val="21"/>
        </w:rPr>
        <w:t>，而非含糊的"有待完善"。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