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2.png" ContentType="image/jpeg"/>
  <Override PartName="/word/media/image13.png" ContentType="image/jpeg"/>
  <Override PartName="/word/media/image1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sz w:val="176"/>
        </w:rPr>
      </w:r>
    </w:p>
    <w:p>
      <w:pPr>
        <w:spacing w:after="160"/>
        <w:ind w:left="1162"/>
      </w:pPr>
      <w:r>
        <w:rPr>
          <w:rFonts w:ascii="Microsoft YaHei" w:hAnsi="Microsoft YaHei"/>
          <w:b/>
          <w:color w:val="0C7C86"/>
          <w:sz w:val="21"/>
        </w:rPr>
        <w:t>2026 年海峡大学生人工智能创意大赛  /  参赛作品</w:t>
      </w:r>
    </w:p>
    <w:p>
      <w:pPr>
        <w:spacing w:after="0"/>
        <w:ind w:left="1162"/>
      </w:pPr>
      <w:r>
        <w:rPr>
          <w:rFonts w:ascii="Microsoft YaHei" w:hAnsi="Microsoft YaHei"/>
          <w:b/>
          <w:color w:val="103B4A"/>
          <w:sz w:val="62"/>
        </w:rPr>
        <w:t>探海灵眸 Oceanus</w:t>
      </w:r>
    </w:p>
    <w:p>
      <w:pPr>
        <w:spacing w:before="80" w:after="240"/>
        <w:ind w:left="1162"/>
      </w:pPr>
      <w:r>
        <w:rPr>
          <w:rFonts w:ascii="Microsoft YaHei" w:hAnsi="Microsoft YaHei"/>
          <w:color w:val="5B7079"/>
          <w:sz w:val="30"/>
        </w:rPr>
        <w:t>面向近岸养殖区漂浮垃圾的可审计治理智能体</w:t>
      </w:r>
    </w:p>
    <w:p>
      <w:pPr>
        <w:spacing w:after="280"/>
        <w:ind w:left="1162" w:right="1162"/>
        <w:pBdr>
          <w:bottom w:val="single" w:sz="10" w:space="4" w:color="0C7C86"/>
        </w:pBdr>
      </w:pPr>
    </w:p>
    <w:p>
      <w:pPr>
        <w:spacing w:after="120"/>
        <w:ind w:left="1162"/>
      </w:pPr>
      <w:r>
        <w:rPr>
          <w:rFonts w:ascii="Microsoft YaHei" w:hAnsi="Microsoft YaHei"/>
          <w:b/>
          <w:color w:val="103B4A"/>
          <w:sz w:val="30"/>
        </w:rPr>
        <w:t>系统设计文档</w:t>
      </w:r>
    </w:p>
    <w:p>
      <w:pPr>
        <w:spacing w:after="200"/>
        <w:ind w:left="1162" w:right="1162"/>
      </w:pPr>
      <w:r>
        <w:rPr>
          <w:rFonts w:ascii="Microsoft YaHei" w:hAnsi="Microsoft YaHei"/>
          <w:color w:val="075D66"/>
          <w:sz w:val="22"/>
        </w:rPr>
        <w:t>看得见 · 想得清 · 管得住 · 查得到</w:t>
      </w:r>
    </w:p>
    <w:p>
      <w:pPr>
        <w:spacing w:before="360"/>
        <w:ind w:left="1162" w:right="1162"/>
      </w:pPr>
      <w:r>
        <w:rPr>
          <w:rFonts w:ascii="Aptos" w:hAnsi="Aptos"/>
          <w:b/>
          <w:color w:val="D8E3E7"/>
          <w:sz w:val="16"/>
        </w:rPr>
        <w:t>OCEANUS PROJECT  ·  2026</w:t>
      </w:r>
    </w:p>
    <w:p>
      <w:pPr>
        <w:sectPr>
          <w:headerReference w:type="default" r:id="rId9"/>
          <w:footerReference w:type="default" r:id="rId10"/>
          <w:pgSz w:w="11906" w:h="16838"/>
          <w:pgMar w:top="1247" w:right="0" w:bottom="794" w:left="0" w:header="283" w:footer="397" w:gutter="0"/>
          <w:cols w:space="720"/>
          <w:docGrid w:linePitch="360"/>
        </w:sectPr>
      </w:pP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01  /  执行摘要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一页读懂：把“会识别”升级为“可交付治理闭环”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21"/>
        </w:rPr>
        <w:t>探海灵眸 Oceanus 面向近岸养殖区、港口与景区水域的漂浮垃圾治理场景，把视觉检测、事件验证、空间派单、受控执行、人工审批与证据核算串成一条可审计闭环。作品的核心不是再做一个检测框，而是让每一次发现都能回答四个问题：证据在哪里、为什么这样决策、谁批准了写操作、结果如何被核实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E8F5F5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0C7C86"/>
                <w:sz w:val="19"/>
              </w:rPr>
              <w:t xml:space="preserve">一句话定义  </w:t>
            </w:r>
            <w:r>
              <w:rPr>
                <w:rFonts w:ascii="Microsoft YaHei" w:hAnsi="Microsoft YaHei"/>
                <w:color w:val="18313B"/>
                <w:sz w:val="19"/>
              </w:rPr>
              <w:t>一个以证据为中心、以策略与审批约束写操作、可在不同模型和设备上迁移的近岸垃圾治理智能体。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2"/>
        <w:gridCol w:w="2402"/>
        <w:gridCol w:w="2402"/>
        <w:gridCol w:w="2402"/>
      </w:tblGrid>
      <w:tr>
        <w:tc>
          <w:tcPr>
            <w:tcW w:type="dxa" w:w="2402"/>
            <w:shd w:fill="EAF3F7"/>
            <w:tcMar>
              <w:top w:w="160" w:type="dxa"/>
              <w:bottom w:w="160" w:type="dxa"/>
              <w:start w:w="140" w:type="dxa"/>
              <w:end w:w="140" w:type="dxa"/>
            </w:tcMar>
            <w:tcBorders>
              <w:top w:val="single" w:sz="18" w:space="0" w:color="0C7C86"/>
            </w:tcBorders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0C7C86"/>
                <w:sz w:val="36"/>
              </w:rPr>
              <w:t>27/27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固定评测场景断言通过</w:t>
            </w:r>
          </w:p>
        </w:tc>
        <w:tc>
          <w:tcPr>
            <w:tcW w:type="dxa" w:w="2402"/>
            <w:shd w:fill="EAF7F1"/>
            <w:tcMar>
              <w:top w:w="160" w:type="dxa"/>
              <w:bottom w:w="160" w:type="dxa"/>
              <w:start w:w="140" w:type="dxa"/>
              <w:end w:w="140" w:type="dxa"/>
            </w:tcMar>
            <w:tcBorders>
              <w:top w:val="single" w:sz="18" w:space="0" w:color="1D7B63"/>
            </w:tcBorders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1D7B63"/>
                <w:sz w:val="36"/>
              </w:rPr>
              <w:t>129/129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真实 HTTP + DB 集成验收</w:t>
            </w:r>
          </w:p>
        </w:tc>
        <w:tc>
          <w:tcPr>
            <w:tcW w:type="dxa" w:w="2402"/>
            <w:shd w:fill="F2EDFC"/>
            <w:tcMar>
              <w:top w:w="160" w:type="dxa"/>
              <w:bottom w:w="160" w:type="dxa"/>
              <w:start w:w="140" w:type="dxa"/>
              <w:end w:w="140" w:type="dxa"/>
            </w:tcMar>
            <w:tcBorders>
              <w:top w:val="single" w:sz="18" w:space="0" w:color="6D45B8"/>
            </w:tcBorders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6D45B8"/>
                <w:sz w:val="36"/>
              </w:rPr>
              <w:t>0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策略违规执行（评测口径）</w:t>
            </w:r>
          </w:p>
        </w:tc>
        <w:tc>
          <w:tcPr>
            <w:tcW w:type="dxa" w:w="2402"/>
            <w:shd w:fill="FFF4E7"/>
            <w:tcMar>
              <w:top w:w="160" w:type="dxa"/>
              <w:bottom w:w="160" w:type="dxa"/>
              <w:start w:w="140" w:type="dxa"/>
              <w:end w:w="140" w:type="dxa"/>
            </w:tcMar>
            <w:tcBorders>
              <w:top w:val="single" w:sz="18" w:space="0" w:color="D87A16"/>
            </w:tcBorders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D87A16"/>
                <w:sz w:val="36"/>
              </w:rPr>
              <w:t>E2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当前最高集成证据等级</w:t>
            </w:r>
          </w:p>
        </w:tc>
      </w:tr>
    </w:tbl>
    <w:p>
      <w:pPr>
        <w:spacing w:after="0"/>
      </w:pPr>
    </w:p>
    <w:p>
      <w:pPr>
        <w:spacing w:after="100" w:line="341" w:lineRule="auto"/>
      </w:pPr>
      <w:r>
        <w:rPr>
          <w:rFonts w:ascii="Microsoft YaHei" w:hAnsi="Microsoft YaHei" w:eastAsia="Microsoft YaHei"/>
          <w:color w:val="075D66"/>
          <w:sz w:val="19"/>
        </w:rPr>
        <w:t>评委可快速核对的五条主线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701"/>
        <w:gridCol w:w="3061"/>
        <w:gridCol w:w="5187"/>
      </w:tblGrid>
      <w:tr>
        <w:trPr>
          <w:tblHeader w:val="true"/>
        </w:trPr>
        <w:tc>
          <w:tcPr>
            <w:tcW w:type="dxa" w:w="170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评分维度</w:t>
            </w:r>
          </w:p>
        </w:tc>
        <w:tc>
          <w:tcPr>
            <w:tcW w:type="dxa" w:w="306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评委真正关心的问题</w:t>
            </w:r>
          </w:p>
        </w:tc>
        <w:tc>
          <w:tcPr>
            <w:tcW w:type="dxa" w:w="5187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本作品的对应证据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技术创新</w:t>
            </w:r>
          </w:p>
        </w:tc>
        <w:tc>
          <w:tcPr>
            <w:tcW w:type="dxa" w:w="306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是否只有 UI 或检测模型？</w:t>
            </w:r>
          </w:p>
        </w:tc>
        <w:tc>
          <w:tcPr>
            <w:tcW w:type="dxa" w:w="518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Run / Step / Tool / Policy / Approval / Replay / Eval 七件套；写操作强制审批。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技术优势</w:t>
            </w:r>
          </w:p>
        </w:tc>
        <w:tc>
          <w:tcPr>
            <w:tcW w:type="dxa" w:w="306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国产算力与开源工具体系在哪里？</w:t>
            </w:r>
          </w:p>
        </w:tc>
        <w:tc>
          <w:tcPr>
            <w:tcW w:type="dxa" w:w="518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ONNX 导出、多 provider 探测、HTTP 推理服务、Ascend 迁移路径。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方案完整</w:t>
            </w:r>
          </w:p>
        </w:tc>
        <w:tc>
          <w:tcPr>
            <w:tcW w:type="dxa" w:w="306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从发现到闭环是否讲得通？</w:t>
            </w:r>
          </w:p>
        </w:tc>
        <w:tc>
          <w:tcPr>
            <w:tcW w:type="dxa" w:w="518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事件→时序→派单→执行→证据→报表全链路；平台与机械臂均可演示。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方案价值</w:t>
            </w:r>
          </w:p>
        </w:tc>
        <w:tc>
          <w:tcPr>
            <w:tcW w:type="dxa" w:w="306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谁会使用、凭什么持续使用？</w:t>
            </w:r>
          </w:p>
        </w:tc>
        <w:tc>
          <w:tcPr>
            <w:tcW w:type="dxa" w:w="518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养殖户/乡镇/巡查队/监管四方角色；按点位订阅与运营服务可复制。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社会价值</w:t>
            </w:r>
          </w:p>
        </w:tc>
        <w:tc>
          <w:tcPr>
            <w:tcW w:type="dxa" w:w="306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是否解决真实公共问题？</w:t>
            </w:r>
          </w:p>
        </w:tc>
        <w:tc>
          <w:tcPr>
            <w:tcW w:type="dxa" w:w="518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降低临水巡检风险、减少无效出勤、沉淀可复核的海洋治理数据。</w:t>
            </w:r>
          </w:p>
        </w:tc>
      </w:tr>
    </w:tbl>
    <w:p>
      <w:pPr>
        <w:spacing w:after="0"/>
      </w:pP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02  /  问题定义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真实问题不是“看不见”，而是“发现之后接不住”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20"/>
        </w:rPr>
        <w:t>近岸漂浮垃圾具有来源分散、随潮汐漂移、出现时间不固定、处置责任跨角色等特点。单点摄像头能提供告警，却不能天然形成可派发、可审批、可核算的治理工单；而只做机器人或只做模型，也无法回答管理端最关心的“为何派、派给谁、完成没有、凭什么认定完成”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1990"/>
            <w:shd w:fill="F5F8F9"/>
            <w:tcBorders>
              <w:top w:val="single" w:sz="14" w:space="0" w:color="0C7C8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17"/>
              </w:rPr>
              <w:t>发现：画面有垃圾</w:t>
            </w:r>
          </w:p>
        </w:tc>
        <w:tc>
          <w:tcPr>
            <w:tcW w:type="dxa" w:w="1990"/>
            <w:shd w:fill="F5F8F9"/>
            <w:tcBorders>
              <w:top w:val="single" w:sz="14" w:space="0" w:color="0C7C8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17"/>
              </w:rPr>
              <w:t>确认：是不是误报</w:t>
            </w:r>
          </w:p>
        </w:tc>
        <w:tc>
          <w:tcPr>
            <w:tcW w:type="dxa" w:w="1990"/>
            <w:shd w:fill="F5F8F9"/>
            <w:tcBorders>
              <w:top w:val="single" w:sz="14" w:space="0" w:color="D87A1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D87A16"/>
                <w:sz w:val="17"/>
              </w:rPr>
              <w:t>派单：谁去最合适</w:t>
            </w:r>
          </w:p>
        </w:tc>
        <w:tc>
          <w:tcPr>
            <w:tcW w:type="dxa" w:w="1990"/>
            <w:shd w:fill="F5F8F9"/>
            <w:tcBorders>
              <w:top w:val="single" w:sz="14" w:space="0" w:color="6D45B8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6D45B8"/>
                <w:sz w:val="17"/>
              </w:rPr>
              <w:t>执行：动作是否安全</w:t>
            </w:r>
          </w:p>
        </w:tc>
        <w:tc>
          <w:tcPr>
            <w:tcW w:type="dxa" w:w="1990"/>
            <w:shd w:fill="F5F8F9"/>
            <w:tcBorders>
              <w:top w:val="single" w:sz="14" w:space="0" w:color="1D7B63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D7B63"/>
                <w:sz w:val="17"/>
              </w:rPr>
              <w:t>核算：结果如何留证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814"/>
        <w:gridCol w:w="4025"/>
        <w:gridCol w:w="4110"/>
      </w:tblGrid>
      <w:tr>
        <w:trPr>
          <w:tblHeader w:val="true"/>
        </w:trPr>
        <w:tc>
          <w:tcPr>
            <w:tcW w:type="dxa" w:w="181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治理断点</w:t>
            </w:r>
          </w:p>
        </w:tc>
        <w:tc>
          <w:tcPr>
            <w:tcW w:type="dxa" w:w="402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现实表现</w:t>
            </w:r>
          </w:p>
        </w:tc>
        <w:tc>
          <w:tcPr>
            <w:tcW w:type="dxa" w:w="4110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Oceanus 的接口化回应</w:t>
            </w:r>
          </w:p>
        </w:tc>
      </w:tr>
      <w:tr>
        <w:trPr>
          <w:trHeight w:val="368" w:hRule="atLeast"/>
        </w:trPr>
        <w:tc>
          <w:tcPr>
            <w:tcW w:type="dxa" w:w="181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误报进入业务</w:t>
            </w:r>
          </w:p>
        </w:tc>
        <w:tc>
          <w:tcPr>
            <w:tcW w:type="dxa" w:w="402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浪花、反光、飞鸟被当成垃圾；人工反复看视频。</w:t>
            </w:r>
          </w:p>
        </w:tc>
        <w:tc>
          <w:tcPr>
            <w:tcW w:type="dxa" w:w="411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目标跟踪 + 连续命中 + 冷却窗口，先形成“可信事件”再触发业务。</w:t>
            </w:r>
          </w:p>
        </w:tc>
      </w:tr>
      <w:tr>
        <w:trPr>
          <w:trHeight w:val="368" w:hRule="atLeast"/>
        </w:trPr>
        <w:tc>
          <w:tcPr>
            <w:tcW w:type="dxa" w:w="181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工单缺少理由</w:t>
            </w:r>
          </w:p>
        </w:tc>
        <w:tc>
          <w:tcPr>
            <w:tcW w:type="dxa" w:w="402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派单靠电话和群消息，优先级与设备状态割裂。</w:t>
            </w:r>
          </w:p>
        </w:tc>
        <w:tc>
          <w:tcPr>
            <w:tcW w:type="dxa" w:w="411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PostGIS 邻近检索叠加在线、电量、仓容和同类顺路权重。</w:t>
            </w:r>
          </w:p>
        </w:tc>
      </w:tr>
      <w:tr>
        <w:trPr>
          <w:trHeight w:val="368" w:hRule="atLeast"/>
        </w:trPr>
        <w:tc>
          <w:tcPr>
            <w:tcW w:type="dxa" w:w="181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写操作难追责</w:t>
            </w:r>
          </w:p>
        </w:tc>
        <w:tc>
          <w:tcPr>
            <w:tcW w:type="dxa" w:w="402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自动建单、下发设备、修改状态缺统一审批边界。</w:t>
            </w:r>
          </w:p>
        </w:tc>
        <w:tc>
          <w:tcPr>
            <w:tcW w:type="dxa" w:w="411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工具声明权限与风险；write/high-risk 默认进入人工审批。</w:t>
            </w:r>
          </w:p>
        </w:tc>
      </w:tr>
      <w:tr>
        <w:trPr>
          <w:trHeight w:val="368" w:hRule="atLeast"/>
        </w:trPr>
        <w:tc>
          <w:tcPr>
            <w:tcW w:type="dxa" w:w="181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完成口径不统一</w:t>
            </w:r>
          </w:p>
        </w:tc>
        <w:tc>
          <w:tcPr>
            <w:tcW w:type="dxa" w:w="402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口头说清理完成，前后影像和重量分散在聊天记录。</w:t>
            </w:r>
          </w:p>
        </w:tc>
        <w:tc>
          <w:tcPr>
            <w:tcW w:type="dxa" w:w="411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证据表约束闭环；无证据的“完成”不进入治理核算。</w:t>
            </w:r>
          </w:p>
        </w:tc>
      </w:tr>
      <w:tr>
        <w:trPr>
          <w:trHeight w:val="368" w:hRule="atLeast"/>
        </w:trPr>
        <w:tc>
          <w:tcPr>
            <w:tcW w:type="dxa" w:w="181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模型无法迁移</w:t>
            </w:r>
          </w:p>
        </w:tc>
        <w:tc>
          <w:tcPr>
            <w:tcW w:type="dxa" w:w="402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换了模型或设备，业务逻辑要重写。</w:t>
            </w:r>
          </w:p>
        </w:tc>
        <w:tc>
          <w:tcPr>
            <w:tcW w:type="dxa" w:w="411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推理服务、模型适配器、MQTT 执行端均以契约隔离。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D87A1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FFF4E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D87A16"/>
                <w:sz w:val="19"/>
              </w:rPr>
              <w:t xml:space="preserve">设计判断  </w:t>
            </w:r>
            <w:r>
              <w:rPr>
                <w:rFonts w:ascii="Microsoft YaHei" w:hAnsi="Microsoft YaHei"/>
                <w:color w:val="18313B"/>
                <w:sz w:val="19"/>
              </w:rPr>
              <w:t>把 AI 的角色从“单次识别器”提升为“受策略约束的治理执行者”，让自动化只发生在可审计、可回滚、可人工接管的边界内。</w:t>
            </w:r>
          </w:p>
        </w:tc>
      </w:tr>
    </w:tbl>
    <w:p>
      <w:pPr>
        <w:spacing w:after="0"/>
      </w:pP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目标用户与任务：养殖户关心“何时清、清了多少”；乡镇巡查队关心“先处理哪里”；监管与考核人员关心“证据是否完整”；一线操作员关心“设备是否听指令、异常能否停得住”。四类角色共同构成产品的真实使用链路。</w:t>
      </w: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03  /  方案总览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方案定位：可替换的模型，稳定不变的治理契约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92000" cy="316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novation_eng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1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1  四条能力链围绕同一治理内核闭环</w:t>
      </w:r>
      <w:r>
        <w:rPr>
          <w:rFonts w:ascii="Microsoft YaHei" w:hAnsi="Microsoft YaHei"/>
          <w:color w:val="5B7079"/>
          <w:sz w:val="16"/>
        </w:rPr>
        <w:t xml:space="preserve">  自绘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9"/>
        </w:rPr>
        <w:t>Oceanus 把系统分为感知、事件、决策、执行、核算五层。模型、设备和页面都可以替换，但事件证据、策略规则、审批记录、工具调用和结果核算保持同一套契约。这使作品既能作为 Web 平台运行，也能接入水面机器人、机械臂或无人机，而不被单一硬件绑死。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624"/>
        <w:gridCol w:w="2494"/>
        <w:gridCol w:w="4195"/>
        <w:gridCol w:w="2636"/>
      </w:tblGrid>
      <w:tr>
        <w:trPr>
          <w:tblHeader w:val="true"/>
        </w:trPr>
        <w:tc>
          <w:tcPr>
            <w:tcW w:type="dxa" w:w="62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249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419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当前实现</w:t>
            </w:r>
          </w:p>
        </w:tc>
        <w:tc>
          <w:tcPr>
            <w:tcW w:type="dxa" w:w="2636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价值</w:t>
            </w:r>
          </w:p>
        </w:tc>
      </w:tr>
      <w:tr>
        <w:trPr>
          <w:trHeight w:val="368" w:hRule="atLeast"/>
        </w:trPr>
        <w:tc>
          <w:tcPr>
            <w:tcW w:type="dxa" w:w="62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感知</w:t>
            </w:r>
          </w:p>
        </w:tc>
        <w:tc>
          <w:tcPr>
            <w:tcW w:type="dxa" w:w="249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从图像形成可解释检测结果</w:t>
            </w:r>
          </w:p>
        </w:tc>
        <w:tc>
          <w:tcPr>
            <w:tcW w:type="dxa" w:w="419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OpenCV / ONNX Runtime / 独立 HTTP 推理服务</w:t>
            </w:r>
          </w:p>
        </w:tc>
        <w:tc>
          <w:tcPr>
            <w:tcW w:type="dxa" w:w="263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模型可替换，CPU/GPU provider 可探测</w:t>
            </w:r>
          </w:p>
        </w:tc>
      </w:tr>
      <w:tr>
        <w:trPr>
          <w:trHeight w:val="368" w:hRule="atLeast"/>
        </w:trPr>
        <w:tc>
          <w:tcPr>
            <w:tcW w:type="dxa" w:w="62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事件</w:t>
            </w:r>
          </w:p>
        </w:tc>
        <w:tc>
          <w:tcPr>
            <w:tcW w:type="dxa" w:w="249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去重、时序验证、空间派单</w:t>
            </w:r>
          </w:p>
        </w:tc>
        <w:tc>
          <w:tcPr>
            <w:tcW w:type="dxa" w:w="419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FastAPI + Redis Streams + PostGIS</w:t>
            </w:r>
          </w:p>
        </w:tc>
        <w:tc>
          <w:tcPr>
            <w:tcW w:type="dxa" w:w="263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先验证再触发，减少误报驱动出勤</w:t>
            </w:r>
          </w:p>
        </w:tc>
      </w:tr>
      <w:tr>
        <w:trPr>
          <w:trHeight w:val="368" w:hRule="atLeast"/>
        </w:trPr>
        <w:tc>
          <w:tcPr>
            <w:tcW w:type="dxa" w:w="62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决策</w:t>
            </w:r>
          </w:p>
        </w:tc>
        <w:tc>
          <w:tcPr>
            <w:tcW w:type="dxa" w:w="249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规划、策略守卫、审批、重规划</w:t>
            </w:r>
          </w:p>
        </w:tc>
        <w:tc>
          <w:tcPr>
            <w:tcW w:type="dxa" w:w="419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治理智能体内核</w:t>
            </w:r>
          </w:p>
        </w:tc>
        <w:tc>
          <w:tcPr>
            <w:tcW w:type="dxa" w:w="263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自动化有边界，失败可解释</w:t>
            </w:r>
          </w:p>
        </w:tc>
      </w:tr>
      <w:tr>
        <w:trPr>
          <w:trHeight w:val="368" w:hRule="atLeast"/>
        </w:trPr>
        <w:tc>
          <w:tcPr>
            <w:tcW w:type="dxa" w:w="62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执行</w:t>
            </w:r>
          </w:p>
        </w:tc>
        <w:tc>
          <w:tcPr>
            <w:tcW w:type="dxa" w:w="249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任务下发、ACK、进度、遥测</w:t>
            </w:r>
          </w:p>
        </w:tc>
        <w:tc>
          <w:tcPr>
            <w:tcW w:type="dxa" w:w="419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MQTT/EMQX + 可插拔驱动</w:t>
            </w:r>
          </w:p>
        </w:tc>
        <w:tc>
          <w:tcPr>
            <w:tcW w:type="dxa" w:w="263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平台与设备解耦</w:t>
            </w:r>
          </w:p>
        </w:tc>
      </w:tr>
      <w:tr>
        <w:trPr>
          <w:trHeight w:val="368" w:hRule="atLeast"/>
        </w:trPr>
        <w:tc>
          <w:tcPr>
            <w:tcW w:type="dxa" w:w="62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核算</w:t>
            </w:r>
          </w:p>
        </w:tc>
        <w:tc>
          <w:tcPr>
            <w:tcW w:type="dxa" w:w="249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证据归档、报表、热力图</w:t>
            </w:r>
          </w:p>
        </w:tc>
        <w:tc>
          <w:tcPr>
            <w:tcW w:type="dxa" w:w="419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MinIO + PostgreSQL + Vue 3</w:t>
            </w:r>
          </w:p>
        </w:tc>
        <w:tc>
          <w:tcPr>
            <w:tcW w:type="dxa" w:w="263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结果可复核、可交付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C34B54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FBEDEF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C34B54"/>
                <w:sz w:val="19"/>
              </w:rPr>
              <w:t xml:space="preserve">产品边界  </w:t>
            </w:r>
            <w:r>
              <w:rPr>
                <w:rFonts w:ascii="Microsoft YaHei" w:hAnsi="Microsoft YaHei"/>
                <w:color w:val="18313B"/>
                <w:sz w:val="19"/>
              </w:rPr>
              <w:t>当前文档描述的是“软件平台 + 受控执行端”的系统设计。自动视觉抓取尚未宣称完成，真实海域规模化验证也尚未开展；这两项被明确列为下一阶段里程碑。</w:t>
            </w:r>
          </w:p>
        </w:tc>
      </w:tr>
    </w:tbl>
    <w:p>
      <w:pPr>
        <w:spacing w:after="0"/>
      </w:pP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04  /  技术创新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四项核心创新：把“智能”变成可管理的工程能力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20"/>
        </w:rPr>
        <w:t>真正的创新不在于堆叠模型名称，而在于把 AI 的不确定性放进一套可验证、可审批、可回放、可度量的运行机制中。以下四项能力共同构成作品的技术护城河。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2268"/>
        <w:gridCol w:w="4762"/>
        <w:gridCol w:w="2920"/>
      </w:tblGrid>
      <w:tr>
        <w:trPr>
          <w:tblHeader w:val="true"/>
        </w:trPr>
        <w:tc>
          <w:tcPr>
            <w:tcW w:type="dxa" w:w="226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创新点</w:t>
            </w:r>
          </w:p>
        </w:tc>
        <w:tc>
          <w:tcPr>
            <w:tcW w:type="dxa" w:w="4762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实现机制</w:t>
            </w:r>
          </w:p>
        </w:tc>
        <w:tc>
          <w:tcPr>
            <w:tcW w:type="dxa" w:w="2920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评委可感知价值</w:t>
            </w:r>
          </w:p>
        </w:tc>
      </w:tr>
      <w:tr>
        <w:trPr>
          <w:trHeight w:val="368" w:hRule="atLeast"/>
        </w:trPr>
        <w:tc>
          <w:tcPr>
            <w:tcW w:type="dxa" w:w="2268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01  可审计治理智能体</w:t>
            </w:r>
          </w:p>
        </w:tc>
        <w:tc>
          <w:tcPr>
            <w:tcW w:type="dxa" w:w="4762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Run 记录目标与终止原因；Step 保留计划、工具、观察、验证与重规划轨迹；工具输入输出哈希固化。</w:t>
            </w:r>
          </w:p>
        </w:tc>
        <w:tc>
          <w:tcPr>
            <w:tcW w:type="dxa" w:w="2920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从“结果对不对”升级为“过程能否解释、能否复核、能否再跑一次”。</w:t>
            </w:r>
          </w:p>
        </w:tc>
      </w:tr>
      <w:tr>
        <w:trPr>
          <w:trHeight w:val="368" w:hRule="atLeast"/>
        </w:trPr>
        <w:tc>
          <w:tcPr>
            <w:tcW w:type="dxa" w:w="2268"/>
            <w:shd w:fill="F2EDFC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02  风险感知的工具契约</w:t>
            </w:r>
          </w:p>
        </w:tc>
        <w:tc>
          <w:tcPr>
            <w:tcW w:type="dxa" w:w="4762"/>
            <w:shd w:fill="F2EDFC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每个工具声明 permission、risk_level、timeout、idempotency_key、audit_event 与错误码。</w:t>
            </w:r>
          </w:p>
        </w:tc>
        <w:tc>
          <w:tcPr>
            <w:tcW w:type="dxa" w:w="2920"/>
            <w:shd w:fill="F2EDFC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越权调用被策略守卫拦截；写入与高风险设备指令进入人工审批。</w:t>
            </w:r>
          </w:p>
        </w:tc>
      </w:tr>
      <w:tr>
        <w:trPr>
          <w:trHeight w:val="368" w:hRule="atLeast"/>
        </w:trPr>
        <w:tc>
          <w:tcPr>
            <w:tcW w:type="dxa" w:w="2268"/>
            <w:shd w:fill="FFF4E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03  事件—空间—证据三层收敛</w:t>
            </w:r>
          </w:p>
        </w:tc>
        <w:tc>
          <w:tcPr>
            <w:tcW w:type="dxa" w:w="4762"/>
            <w:shd w:fill="FFF4E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时序验证解决误报，PostGIS 解决就近派单，证据表解决结果核算；异常均结构化返回。</w:t>
            </w:r>
          </w:p>
        </w:tc>
        <w:tc>
          <w:tcPr>
            <w:tcW w:type="dxa" w:w="2920"/>
            <w:shd w:fill="FFF4E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AI 输出不再直接驱动业务写入，而是经过证据门槛和业务状态机。</w:t>
            </w:r>
          </w:p>
        </w:tc>
      </w:tr>
      <w:tr>
        <w:trPr>
          <w:trHeight w:val="368" w:hRule="atLeast"/>
        </w:trPr>
        <w:tc>
          <w:tcPr>
            <w:tcW w:type="dxa" w:w="2268"/>
            <w:shd w:fill="EAF7F1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04  模型与执行器解耦</w:t>
            </w:r>
          </w:p>
        </w:tc>
        <w:tc>
          <w:tcPr>
            <w:tcW w:type="dxa" w:w="4762"/>
            <w:shd w:fill="EAF7F1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OpenAI 兼容适配器、ONNX 多 provider、MQTT 可插拔执行端与统一任务契约。</w:t>
            </w:r>
          </w:p>
        </w:tc>
        <w:tc>
          <w:tcPr>
            <w:tcW w:type="dxa" w:w="2920"/>
            <w:shd w:fill="EAF7F1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同一治理内核可迁移到云、边缘机、Ascend 或不同机器人。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E8F5F5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0C7C86"/>
                <w:sz w:val="19"/>
              </w:rPr>
              <w:t xml:space="preserve">与“只会调用大模型”的区别  </w:t>
            </w:r>
            <w:r>
              <w:rPr>
                <w:rFonts w:ascii="Microsoft YaHei" w:hAnsi="Microsoft YaHei"/>
                <w:color w:val="18313B"/>
                <w:sz w:val="19"/>
              </w:rPr>
              <w:t>模型可用时负责生成计划；模型不可用时规则模式仍能完成核心派单闭环。模型不是唯一控制器，系统也不把模型输出直接当作事实。</w:t>
            </w:r>
          </w:p>
        </w:tc>
      </w:tr>
    </w:tbl>
    <w:p>
      <w:pPr>
        <w:spacing w:after="0"/>
      </w:pPr>
    </w:p>
    <w:p>
      <w:pPr>
        <w:pStyle w:val="ListBullet"/>
        <w:spacing w:after="60" w:line="324" w:lineRule="auto"/>
        <w:ind w:left="312" w:hanging="142"/>
      </w:pPr>
      <w:r>
        <w:rPr>
          <w:rFonts w:ascii="Microsoft YaHei" w:hAnsi="Microsoft YaHei" w:eastAsia="Microsoft YaHei"/>
          <w:color w:val="18313B"/>
          <w:sz w:val="18"/>
        </w:rPr>
        <w:t>事实、推断、人工确认在记忆中分源存储；禁止把模型推断写成事实。</w:t>
      </w:r>
    </w:p>
    <w:p>
      <w:pPr>
        <w:pStyle w:val="ListBullet"/>
        <w:spacing w:after="60" w:line="324" w:lineRule="auto"/>
        <w:ind w:left="312" w:hanging="142"/>
      </w:pPr>
      <w:r>
        <w:rPr>
          <w:rFonts w:ascii="Microsoft YaHei" w:hAnsi="Microsoft YaHei" w:eastAsia="Microsoft YaHei"/>
          <w:color w:val="18313B"/>
          <w:sz w:val="18"/>
        </w:rPr>
        <w:t>重规划产生新的 step_no，历史步骤不被覆盖；回放用于核对轨迹而非重新编故事。</w:t>
      </w:r>
    </w:p>
    <w:p>
      <w:pPr>
        <w:pStyle w:val="ListBullet"/>
        <w:spacing w:after="60" w:line="324" w:lineRule="auto"/>
        <w:ind w:left="312" w:hanging="142"/>
      </w:pPr>
      <w:r>
        <w:rPr>
          <w:rFonts w:ascii="Microsoft YaHei" w:hAnsi="Microsoft YaHei" w:eastAsia="Microsoft YaHei"/>
          <w:color w:val="18313B"/>
          <w:sz w:val="18"/>
        </w:rPr>
        <w:t>所有失败有结构化错误码，支持从 UI 直接定位到策略、审批或工具环节。</w:t>
      </w: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05  /  系统架构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端到端架构：从一帧图像到一份可核实治理记录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210000" cy="296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_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000" cy="29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2  治理 Run 状态机：正常、审批、重规划与安全终止</w:t>
      </w:r>
      <w:r>
        <w:rPr>
          <w:rFonts w:ascii="Microsoft YaHei" w:hAnsi="Microsoft YaHei"/>
          <w:color w:val="5B7079"/>
          <w:sz w:val="16"/>
        </w:rPr>
        <w:t xml:space="preserve">  自绘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一次完整运行从事件接入开始。系统先对 `event_id` 或 `(device_id, seq)` 做幂等去重，再通过目标跟踪、连续命中和冷却窗口确认事件。确认后，智能体读取事件与设备状态，生成派单计划；若涉及写操作，先经过策略守卫与人工审批，再调用 MQTT 工具下发任务。设备回传 ACK、进度、遥测和证据后，系统进入观察与验证阶段，最终成功或结构化失败。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474"/>
        <w:gridCol w:w="4365"/>
        <w:gridCol w:w="4110"/>
      </w:tblGrid>
      <w:tr>
        <w:trPr>
          <w:tblHeader w:val="true"/>
        </w:trPr>
        <w:tc>
          <w:tcPr>
            <w:tcW w:type="dxa" w:w="147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关键对象</w:t>
            </w:r>
          </w:p>
        </w:tc>
        <w:tc>
          <w:tcPr>
            <w:tcW w:type="dxa" w:w="436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4110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不可省略的约束</w:t>
            </w:r>
          </w:p>
        </w:tc>
      </w:tr>
      <w:tr>
        <w:trPr>
          <w:trHeight w:val="368" w:hRule="atLeast"/>
        </w:trPr>
        <w:tc>
          <w:tcPr>
            <w:tcW w:type="dxa" w:w="147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Event</w:t>
            </w:r>
          </w:p>
        </w:tc>
        <w:tc>
          <w:tcPr>
            <w:tcW w:type="dxa" w:w="436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一次候选发现及其帧、类别、坐标、时间</w:t>
            </w:r>
          </w:p>
        </w:tc>
        <w:tc>
          <w:tcPr>
            <w:tcW w:type="dxa" w:w="411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幂等键唯一；时间与创建时间分离；缺坐标不参与空间派单</w:t>
            </w:r>
          </w:p>
        </w:tc>
      </w:tr>
      <w:tr>
        <w:trPr>
          <w:trHeight w:val="368" w:hRule="atLeast"/>
        </w:trPr>
        <w:tc>
          <w:tcPr>
            <w:tcW w:type="dxa" w:w="147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Task</w:t>
            </w:r>
          </w:p>
        </w:tc>
        <w:tc>
          <w:tcPr>
            <w:tcW w:type="dxa" w:w="436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可派发、可执行、可追踪的业务工单</w:t>
            </w:r>
          </w:p>
        </w:tc>
        <w:tc>
          <w:tcPr>
            <w:tcW w:type="dxa" w:w="411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状态机守卫；目标点与设备绑定；失败原因结构化</w:t>
            </w:r>
          </w:p>
        </w:tc>
      </w:tr>
      <w:tr>
        <w:trPr>
          <w:trHeight w:val="368" w:hRule="atLeast"/>
        </w:trPr>
        <w:tc>
          <w:tcPr>
            <w:tcW w:type="dxa" w:w="147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Run / Step</w:t>
            </w:r>
          </w:p>
        </w:tc>
        <w:tc>
          <w:tcPr>
            <w:tcW w:type="dxa" w:w="436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智能体一次治理过程及其历史轨迹</w:t>
            </w:r>
          </w:p>
        </w:tc>
        <w:tc>
          <w:tcPr>
            <w:tcW w:type="dxa" w:w="411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步骤只追加不覆盖；终止原因必填；轨迹可回放</w:t>
            </w:r>
          </w:p>
        </w:tc>
      </w:tr>
      <w:tr>
        <w:trPr>
          <w:trHeight w:val="368" w:hRule="atLeast"/>
        </w:trPr>
        <w:tc>
          <w:tcPr>
            <w:tcW w:type="dxa" w:w="147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Approval</w:t>
            </w:r>
          </w:p>
        </w:tc>
        <w:tc>
          <w:tcPr>
            <w:tcW w:type="dxa" w:w="436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对写操作或高风险动作的人工决策</w:t>
            </w:r>
          </w:p>
        </w:tc>
        <w:tc>
          <w:tcPr>
            <w:tcW w:type="dxa" w:w="411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请求人、决策人、理由、时间完整保存</w:t>
            </w:r>
          </w:p>
        </w:tc>
      </w:tr>
      <w:tr>
        <w:trPr>
          <w:trHeight w:val="368" w:hRule="atLeast"/>
        </w:trPr>
        <w:tc>
          <w:tcPr>
            <w:tcW w:type="dxa" w:w="147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Evidence</w:t>
            </w:r>
          </w:p>
        </w:tc>
        <w:tc>
          <w:tcPr>
            <w:tcW w:type="dxa" w:w="436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前后影像、重量、复核记录</w:t>
            </w:r>
          </w:p>
        </w:tc>
        <w:tc>
          <w:tcPr>
            <w:tcW w:type="dxa" w:w="411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完成必须关联证据；估算值不得冒充实测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EAF3F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0C7C86"/>
                <w:sz w:val="19"/>
              </w:rPr>
              <w:t xml:space="preserve">架构原则  </w:t>
            </w:r>
            <w:r>
              <w:rPr>
                <w:rFonts w:ascii="Microsoft YaHei" w:hAnsi="Microsoft YaHei"/>
                <w:color w:val="18313B"/>
                <w:sz w:val="19"/>
              </w:rPr>
              <w:t>依赖单向、契约先行、失败姿态明确、证据内建。感知层不直接触发派单，设备不直接写数据库，报表层不反向修改业务状态。</w:t>
            </w:r>
          </w:p>
        </w:tc>
      </w:tr>
    </w:tbl>
    <w:p>
      <w:pPr>
        <w:spacing w:after="0"/>
      </w:pP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06  /  核心机制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治理智能体：不放手的自动化，可控地完成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293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layer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29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3  五层闭环与治理内核在系统中的位置</w:t>
      </w:r>
      <w:r>
        <w:rPr>
          <w:rFonts w:ascii="Microsoft YaHei" w:hAnsi="Microsoft YaHei"/>
          <w:color w:val="5B7079"/>
          <w:sz w:val="16"/>
        </w:rPr>
        <w:t xml:space="preserve">  系统架构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运行时把一次治理拆成可观察的步骤：计划、策略检查、工具调用、观察、验证、重规划与终止。每一步都记录步骤类型、输入输出哈希、状态、耗时和错误码。审批是一个正式状态，不是弹窗提醒：等待审批期间不执行写工具，超时、拒绝和通过分别产生可追踪结果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701"/>
        <w:gridCol w:w="2835"/>
        <w:gridCol w:w="5414"/>
      </w:tblGrid>
      <w:tr>
        <w:trPr>
          <w:tblHeader w:val="true"/>
        </w:trPr>
        <w:tc>
          <w:tcPr>
            <w:tcW w:type="dxa" w:w="170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运行组件</w:t>
            </w:r>
          </w:p>
        </w:tc>
        <w:tc>
          <w:tcPr>
            <w:tcW w:type="dxa" w:w="283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解决的问题</w:t>
            </w:r>
          </w:p>
        </w:tc>
        <w:tc>
          <w:tcPr>
            <w:tcW w:type="dxa" w:w="541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实现要点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Planner</w:t>
            </w:r>
          </w:p>
        </w:tc>
        <w:tc>
          <w:tcPr>
            <w:tcW w:type="dxa" w:w="283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下一步做什么</w:t>
            </w:r>
          </w:p>
        </w:tc>
        <w:tc>
          <w:tcPr>
            <w:tcW w:type="dxa" w:w="541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规则模式可独立运行；模型模式只生成受 Schema 约束的计划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Policy</w:t>
            </w:r>
          </w:p>
        </w:tc>
        <w:tc>
          <w:tcPr>
            <w:tcW w:type="dxa" w:w="283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这一步允许做吗</w:t>
            </w:r>
          </w:p>
        </w:tc>
        <w:tc>
          <w:tcPr>
            <w:tcW w:type="dxa" w:w="541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按角色、权限、风险与服务状态拦截；违规不进入执行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Tool Executor</w:t>
            </w:r>
          </w:p>
        </w:tc>
        <w:tc>
          <w:tcPr>
            <w:tcW w:type="dxa" w:w="283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如何安全执行</w:t>
            </w:r>
          </w:p>
        </w:tc>
        <w:tc>
          <w:tcPr>
            <w:tcW w:type="dxa" w:w="541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超时、重试上限、幂等键、输入输出 Schema 校验与审计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Observer / Verifier</w:t>
            </w:r>
          </w:p>
        </w:tc>
        <w:tc>
          <w:tcPr>
            <w:tcW w:type="dxa" w:w="283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做完之后真的成立吗</w:t>
            </w:r>
          </w:p>
        </w:tc>
        <w:tc>
          <w:tcPr>
            <w:tcW w:type="dxa" w:w="541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读取真实状态，不把“已下发”误判为“已完成”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Replay / Eval</w:t>
            </w:r>
          </w:p>
        </w:tc>
        <w:tc>
          <w:tcPr>
            <w:tcW w:type="dxa" w:w="283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以后能否复核与回归</w:t>
            </w:r>
          </w:p>
        </w:tc>
        <w:tc>
          <w:tcPr>
            <w:tcW w:type="dxa" w:w="541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固定场景、期望轨迹、失败样本和版本化评测记忆</w:t>
            </w:r>
          </w:p>
        </w:tc>
      </w:tr>
    </w:tbl>
    <w:p>
      <w:pPr>
        <w:spacing w:after="0"/>
      </w:pP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07  /  感知与验证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感知能力：用独立公开基准说话，也不越过证据边界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项目采用 YOLO11 微调模型作为有监督基线，并保留 YOLO-World 零样本路径用于快速扩展类别。评测在第三方公开数据集 SC-FloatWaste 上完成，包含 400 张图像、1,490 个标注框和三个区域。这组结果用于证明模型训练与导出链路有效，不等同于连江海域现场精度，也不等同于项目设备实测精度。</w:t>
      </w:r>
    </w:p>
    <w:tbl>
      <w:tblPr>
        <w:tblW w:type="dxa" w:w="949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928"/>
        <w:gridCol w:w="1474"/>
        <w:gridCol w:w="1701"/>
        <w:gridCol w:w="1474"/>
        <w:gridCol w:w="1559"/>
        <w:gridCol w:w="1361"/>
      </w:tblGrid>
      <w:tr>
        <w:trPr>
          <w:tblHeader w:val="true"/>
        </w:trPr>
        <w:tc>
          <w:tcPr>
            <w:tcW w:type="dxa" w:w="192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评测对象</w:t>
            </w:r>
          </w:p>
        </w:tc>
        <w:tc>
          <w:tcPr>
            <w:tcW w:type="dxa" w:w="147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mAP@0.5</w:t>
            </w:r>
          </w:p>
        </w:tc>
        <w:tc>
          <w:tcPr>
            <w:tcW w:type="dxa" w:w="170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mAP@0.5:0.95</w:t>
            </w:r>
          </w:p>
        </w:tc>
        <w:tc>
          <w:tcPr>
            <w:tcW w:type="dxa" w:w="147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最佳 F1</w:t>
            </w:r>
          </w:p>
        </w:tc>
        <w:tc>
          <w:tcPr>
            <w:tcW w:type="dxa" w:w="155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36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Recall</w:t>
            </w:r>
          </w:p>
        </w:tc>
      </w:tr>
      <w:tr>
        <w:trPr>
          <w:trHeight w:val="368" w:hRule="atLeast"/>
        </w:trPr>
        <w:tc>
          <w:tcPr>
            <w:tcW w:type="dxa" w:w="1928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YOLO11 微调</w:t>
            </w:r>
          </w:p>
        </w:tc>
        <w:tc>
          <w:tcPr>
            <w:tcW w:type="dxa" w:w="1474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0.5135</w:t>
            </w:r>
          </w:p>
        </w:tc>
        <w:tc>
          <w:tcPr>
            <w:tcW w:type="dxa" w:w="1701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0.3444</w:t>
            </w:r>
          </w:p>
        </w:tc>
        <w:tc>
          <w:tcPr>
            <w:tcW w:type="dxa" w:w="1474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0.5376</w:t>
            </w:r>
          </w:p>
        </w:tc>
        <w:tc>
          <w:tcPr>
            <w:tcW w:type="dxa" w:w="1559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0.5665</w:t>
            </w:r>
          </w:p>
        </w:tc>
        <w:tc>
          <w:tcPr>
            <w:tcW w:type="dxa" w:w="1361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0.5114</w:t>
            </w:r>
          </w:p>
        </w:tc>
      </w:tr>
      <w:tr>
        <w:trPr>
          <w:trHeight w:val="368" w:hRule="atLeast"/>
        </w:trPr>
        <w:tc>
          <w:tcPr>
            <w:tcW w:type="dxa" w:w="192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YOLO-World 零样本</w:t>
            </w:r>
          </w:p>
        </w:tc>
        <w:tc>
          <w:tcPr>
            <w:tcW w:type="dxa" w:w="147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0.1432</w:t>
            </w:r>
          </w:p>
        </w:tc>
        <w:tc>
          <w:tcPr>
            <w:tcW w:type="dxa" w:w="170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0.0930</w:t>
            </w:r>
          </w:p>
        </w:tc>
        <w:tc>
          <w:tcPr>
            <w:tcW w:type="dxa" w:w="147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0.2702</w:t>
            </w:r>
          </w:p>
        </w:tc>
        <w:tc>
          <w:tcPr>
            <w:tcW w:type="dxa" w:w="155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—</w:t>
            </w:r>
          </w:p>
        </w:tc>
        <w:tc>
          <w:tcPr>
            <w:tcW w:type="dxa" w:w="136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D87A1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FFF4E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D87A16"/>
                <w:sz w:val="19"/>
              </w:rPr>
              <w:t xml:space="preserve">区域差异  </w:t>
            </w:r>
            <w:r>
              <w:rPr>
                <w:rFonts w:ascii="Microsoft YaHei" w:hAnsi="Microsoft YaHei"/>
                <w:color w:val="18313B"/>
                <w:sz w:val="19"/>
              </w:rPr>
              <w:t>YOLO11 在 Indonesia / NSW / Hobart 的 mAP@0.5 分别为 0.7229 / 0.3341 / 0.4029。差异说明跨水域域偏移真实存在，模型不能凭一次基准测试宣称“通用准确”。</w:t>
            </w:r>
          </w:p>
        </w:tc>
      </w:tr>
    </w:tbl>
    <w:p>
      <w:pPr>
        <w:spacing w:after="0"/>
      </w:pP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48000" cy="262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pai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4  水面与岸滩检测界面示例（展示输出形态，不作为现场精度证据）</w:t>
      </w:r>
      <w:r>
        <w:rPr>
          <w:rFonts w:ascii="Microsoft YaHei" w:hAnsi="Microsoft YaHei"/>
          <w:color w:val="5B7079"/>
          <w:sz w:val="16"/>
        </w:rPr>
        <w:t xml:space="preserve">  公开数据/项目截图</w:t>
      </w:r>
    </w:p>
    <w:p>
      <w:pPr>
        <w:spacing w:after="0" w:line="341" w:lineRule="auto"/>
      </w:pPr>
      <w:r>
        <w:rPr>
          <w:rFonts w:ascii="Microsoft YaHei" w:hAnsi="Microsoft YaHei" w:eastAsia="Microsoft YaHei"/>
          <w:color w:val="5B7079"/>
          <w:sz w:val="17"/>
        </w:rPr>
        <w:t>工程侧通过 ONNX 导出、输入尺寸固定、批次为 1 与图简化降低边缘部署成本；推理服务在 `/infer/health` 中返回实际 provider 与降级状态，调用方必须检查 `mode`，避免模型缺失时静默误判。</w:t>
      </w: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08  /  业务闭环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从检测到可信事件：先降噪，再派单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210000" cy="314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funnel_v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000" cy="31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5  时序先验误报抑制链路</w:t>
      </w:r>
      <w:r>
        <w:rPr>
          <w:rFonts w:ascii="Microsoft YaHei" w:hAnsi="Microsoft YaHei"/>
          <w:color w:val="5B7079"/>
          <w:sz w:val="16"/>
        </w:rPr>
        <w:t xml:space="preserve">  合成海面测试数据；76% 为链路过滤率，不等于识别精度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7"/>
        </w:rPr>
        <w:t>单帧置信度无法直接代表业务真实性。系统在候选框进入业务前加入三层收敛：抽帧与跟踪关联减少重复目标，连续命中提升时序稳定性，冷却窗口避免同一事件反复建单。该链路的输出是“可信事件”，不是“绝对事实”；最终仍需现场执行与证据回传完成闭环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2268"/>
        <w:gridCol w:w="3628"/>
        <w:gridCol w:w="4054"/>
      </w:tblGrid>
      <w:tr>
        <w:trPr>
          <w:tblHeader w:val="true"/>
        </w:trPr>
        <w:tc>
          <w:tcPr>
            <w:tcW w:type="dxa" w:w="226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派单因子</w:t>
            </w:r>
          </w:p>
        </w:tc>
        <w:tc>
          <w:tcPr>
            <w:tcW w:type="dxa" w:w="362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为什么纳入</w:t>
            </w:r>
          </w:p>
        </w:tc>
        <w:tc>
          <w:tcPr>
            <w:tcW w:type="dxa" w:w="405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落地方式</w:t>
            </w:r>
          </w:p>
        </w:tc>
      </w:tr>
      <w:tr>
        <w:trPr>
          <w:trHeight w:val="368" w:hRule="atLeast"/>
        </w:trPr>
        <w:tc>
          <w:tcPr>
            <w:tcW w:type="dxa" w:w="22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空间距离</w:t>
            </w:r>
          </w:p>
        </w:tc>
        <w:tc>
          <w:tcPr>
            <w:tcW w:type="dxa" w:w="362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最近设备通常响应更快</w:t>
            </w:r>
          </w:p>
        </w:tc>
        <w:tc>
          <w:tcPr>
            <w:tcW w:type="dxa" w:w="405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PostGIS KNN 邻近检索</w:t>
            </w:r>
          </w:p>
        </w:tc>
      </w:tr>
      <w:tr>
        <w:trPr>
          <w:trHeight w:val="368" w:hRule="atLeast"/>
        </w:trPr>
        <w:tc>
          <w:tcPr>
            <w:tcW w:type="dxa" w:w="226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设备在线 / 电量 / 仓容</w:t>
            </w:r>
          </w:p>
        </w:tc>
        <w:tc>
          <w:tcPr>
            <w:tcW w:type="dxa" w:w="362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不可用设备不应进入候选</w:t>
            </w:r>
          </w:p>
        </w:tc>
        <w:tc>
          <w:tcPr>
            <w:tcW w:type="dxa" w:w="405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设备表状态过滤与门槛约束</w:t>
            </w:r>
          </w:p>
        </w:tc>
      </w:tr>
      <w:tr>
        <w:trPr>
          <w:trHeight w:val="368" w:hRule="atLeast"/>
        </w:trPr>
        <w:tc>
          <w:tcPr>
            <w:tcW w:type="dxa" w:w="22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同类任务顺路</w:t>
            </w:r>
          </w:p>
        </w:tc>
        <w:tc>
          <w:tcPr>
            <w:tcW w:type="dxa" w:w="362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减少重复往返</w:t>
            </w:r>
          </w:p>
        </w:tc>
        <w:tc>
          <w:tcPr>
            <w:tcW w:type="dxa" w:w="405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同类类别活跃任务加权</w:t>
            </w:r>
          </w:p>
        </w:tc>
      </w:tr>
      <w:tr>
        <w:trPr>
          <w:trHeight w:val="368" w:hRule="atLeast"/>
        </w:trPr>
        <w:tc>
          <w:tcPr>
            <w:tcW w:type="dxa" w:w="226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优先级与截止时间</w:t>
            </w:r>
          </w:p>
        </w:tc>
        <w:tc>
          <w:tcPr>
            <w:tcW w:type="dxa" w:w="362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公共风险需要排序</w:t>
            </w:r>
          </w:p>
        </w:tc>
        <w:tc>
          <w:tcPr>
            <w:tcW w:type="dxa" w:w="405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任务优先级与超时处理</w:t>
            </w:r>
          </w:p>
        </w:tc>
      </w:tr>
      <w:tr>
        <w:trPr>
          <w:trHeight w:val="368" w:hRule="atLeast"/>
        </w:trPr>
        <w:tc>
          <w:tcPr>
            <w:tcW w:type="dxa" w:w="22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派单理由</w:t>
            </w:r>
          </w:p>
        </w:tc>
        <w:tc>
          <w:tcPr>
            <w:tcW w:type="dxa" w:w="362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便于人工复核与追责</w:t>
            </w:r>
          </w:p>
        </w:tc>
        <w:tc>
          <w:tcPr>
            <w:tcW w:type="dxa" w:w="405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dispatch_score / reject_reason 持久化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EAF3F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0C7C86"/>
                <w:sz w:val="19"/>
              </w:rPr>
              <w:t xml:space="preserve">异常路径同样是产品的一部分  </w:t>
            </w:r>
            <w:r>
              <w:rPr>
                <w:rFonts w:ascii="Microsoft YaHei" w:hAnsi="Microsoft YaHei"/>
                <w:color w:val="18313B"/>
                <w:sz w:val="19"/>
              </w:rPr>
              <w:t>无设备可用、ACK 超时、工具超时、审批拒绝、模型不可用和无效循环都进入固定评测场景；系统必须给出结构化原因，而不是卡在“运行中”。</w:t>
            </w:r>
          </w:p>
        </w:tc>
      </w:tr>
    </w:tbl>
    <w:p>
      <w:pPr>
        <w:spacing w:after="0"/>
      </w:pP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09  /  安全设计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人在回路：让审批成为状态，而不是礼貌提示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48000" cy="293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risk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3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6  工具权限 × 风险矩阵</w:t>
      </w:r>
      <w:r>
        <w:rPr>
          <w:rFonts w:ascii="Microsoft YaHei" w:hAnsi="Microsoft YaHei"/>
          <w:color w:val="5B7079"/>
          <w:sz w:val="16"/>
        </w:rPr>
        <w:t xml:space="preserve">  工具注册契约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智能体只允许调用注册表中存在的工具。读工具可在策略允许下自动执行；创建/合并工单等写工具需要角色权限；设备下发属于高风险写操作，默认必须人工审批。审批人看到的是具体动作、参数摘要、风险级别与关联 Run，而不是一段模糊的自然语言。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361"/>
        <w:gridCol w:w="2948"/>
        <w:gridCol w:w="2665"/>
        <w:gridCol w:w="2976"/>
      </w:tblGrid>
      <w:tr>
        <w:trPr>
          <w:tblHeader w:val="true"/>
        </w:trPr>
        <w:tc>
          <w:tcPr>
            <w:tcW w:type="dxa" w:w="136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94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可以看到</w:t>
            </w:r>
          </w:p>
        </w:tc>
        <w:tc>
          <w:tcPr>
            <w:tcW w:type="dxa" w:w="266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可以决定</w:t>
            </w:r>
          </w:p>
        </w:tc>
        <w:tc>
          <w:tcPr>
            <w:tcW w:type="dxa" w:w="2976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系统保留的审计信息</w:t>
            </w:r>
          </w:p>
        </w:tc>
      </w:tr>
      <w:tr>
        <w:trPr>
          <w:trHeight w:val="368" w:hRule="atLeast"/>
        </w:trPr>
        <w:tc>
          <w:tcPr>
            <w:tcW w:type="dxa" w:w="136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操作员</w:t>
            </w:r>
          </w:p>
        </w:tc>
        <w:tc>
          <w:tcPr>
            <w:tcW w:type="dxa" w:w="294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事件、证据帧、可用设备与计划摘要</w:t>
            </w:r>
          </w:p>
        </w:tc>
        <w:tc>
          <w:tcPr>
            <w:tcW w:type="dxa" w:w="266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低风险操作；发起审批</w:t>
            </w:r>
          </w:p>
        </w:tc>
        <w:tc>
          <w:tcPr>
            <w:tcW w:type="dxa" w:w="297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查看/操作时间、Run、角色</w:t>
            </w:r>
          </w:p>
        </w:tc>
      </w:tr>
      <w:tr>
        <w:trPr>
          <w:trHeight w:val="368" w:hRule="atLeast"/>
        </w:trPr>
        <w:tc>
          <w:tcPr>
            <w:tcW w:type="dxa" w:w="136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复核员</w:t>
            </w:r>
          </w:p>
        </w:tc>
        <w:tc>
          <w:tcPr>
            <w:tcW w:type="dxa" w:w="294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前序步骤、策略结果、异常原因</w:t>
            </w:r>
          </w:p>
        </w:tc>
        <w:tc>
          <w:tcPr>
            <w:tcW w:type="dxa" w:w="266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审批通过或拒绝</w:t>
            </w:r>
          </w:p>
        </w:tc>
        <w:tc>
          <w:tcPr>
            <w:tcW w:type="dxa" w:w="297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决策理由、决策人、参数哈希</w:t>
            </w:r>
          </w:p>
        </w:tc>
      </w:tr>
      <w:tr>
        <w:trPr>
          <w:trHeight w:val="368" w:hRule="atLeast"/>
        </w:trPr>
        <w:tc>
          <w:tcPr>
            <w:tcW w:type="dxa" w:w="136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管理员</w:t>
            </w:r>
          </w:p>
        </w:tc>
        <w:tc>
          <w:tcPr>
            <w:tcW w:type="dxa" w:w="294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全量运行轨迹与工具目录</w:t>
            </w:r>
          </w:p>
        </w:tc>
        <w:tc>
          <w:tcPr>
            <w:tcW w:type="dxa" w:w="266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工具配置、策略修订</w:t>
            </w:r>
          </w:p>
        </w:tc>
        <w:tc>
          <w:tcPr>
            <w:tcW w:type="dxa" w:w="297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版本、变更前状态、生效时间</w:t>
            </w:r>
          </w:p>
        </w:tc>
      </w:tr>
      <w:tr>
        <w:trPr>
          <w:trHeight w:val="368" w:hRule="atLeast"/>
        </w:trPr>
        <w:tc>
          <w:tcPr>
            <w:tcW w:type="dxa" w:w="136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系统</w:t>
            </w:r>
          </w:p>
        </w:tc>
        <w:tc>
          <w:tcPr>
            <w:tcW w:type="dxa" w:w="294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设备状态、工具结果、验证条件</w:t>
            </w:r>
          </w:p>
        </w:tc>
        <w:tc>
          <w:tcPr>
            <w:tcW w:type="dxa" w:w="266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执行策略守卫与超时终止</w:t>
            </w:r>
          </w:p>
        </w:tc>
        <w:tc>
          <w:tcPr>
            <w:tcW w:type="dxa" w:w="297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结构化错误码、步骤号、终止原因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C34B54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FBEDEF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C34B54"/>
                <w:sz w:val="19"/>
              </w:rPr>
              <w:t xml:space="preserve">安全底线  </w:t>
            </w:r>
            <w:r>
              <w:rPr>
                <w:rFonts w:ascii="Microsoft YaHei" w:hAnsi="Microsoft YaHei"/>
                <w:color w:val="18313B"/>
                <w:sz w:val="19"/>
              </w:rPr>
              <w:t>等待审批期间不执行写工具；审批被拒绝时 Run 终止且不下发设备；同一幂等键不会因重试产生重复工单。</w:t>
            </w:r>
          </w:p>
        </w:tc>
      </w:tr>
    </w:tbl>
    <w:p>
      <w:pPr>
        <w:spacing w:after="0"/>
      </w:pP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这种设计把“人类监督”从演示时的口头承诺，变成状态机、权限表、数据库记录和固定评测场景，更适合需要责任边界的公共服务场景。</w:t>
      </w: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10  /  产品演示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可交互平台：同一套数据贯通监测与派单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56000" cy="3462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0x1080-sandbox-track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7  监测大屏：现场视频、三维态势、实时告警、工单与机器人状态</w:t>
      </w:r>
      <w:r>
        <w:rPr>
          <w:rFonts w:ascii="Microsoft YaHei" w:hAnsi="Microsoft YaHei"/>
          <w:color w:val="5B7079"/>
          <w:sz w:val="16"/>
        </w:rPr>
        <w:t xml:space="preserve">  项目截图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大屏不是静态看板：地图点位、告警、设备状态、工单与事件来自统一业务数据。用户可以进入事件中心查看检测证据，进入工单板了解派单结果，再进入智能体控制台核对每个决策步骤。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31"/>
        <w:gridCol w:w="3231"/>
        <w:gridCol w:w="3231"/>
      </w:tblGrid>
      <w:tr>
        <w:tc>
          <w:tcPr>
            <w:tcW w:type="dxa" w:w="3231"/>
            <w:shd w:fill="EAF3F7"/>
            <w:tcMar>
              <w:top w:w="160" w:type="dxa"/>
              <w:bottom w:w="160" w:type="dxa"/>
              <w:start w:w="140" w:type="dxa"/>
              <w:end w:w="140" w:type="dxa"/>
            </w:tcMar>
            <w:tcBorders>
              <w:top w:val="single" w:sz="18" w:space="0" w:color="0C7C86"/>
            </w:tcBorders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0C7C86"/>
                <w:sz w:val="36"/>
              </w:rPr>
              <w:t>6 类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核心导航与业务流程</w:t>
            </w:r>
          </w:p>
        </w:tc>
        <w:tc>
          <w:tcPr>
            <w:tcW w:type="dxa" w:w="3231"/>
            <w:shd w:fill="EAF7F1"/>
            <w:tcMar>
              <w:top w:w="160" w:type="dxa"/>
              <w:bottom w:w="160" w:type="dxa"/>
              <w:start w:w="140" w:type="dxa"/>
              <w:end w:w="140" w:type="dxa"/>
            </w:tcMar>
            <w:tcBorders>
              <w:top w:val="single" w:sz="18" w:space="0" w:color="1D7B63"/>
            </w:tcBorders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1D7B63"/>
                <w:sz w:val="36"/>
              </w:rPr>
              <w:t>Web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桌面与移动自适应</w:t>
            </w:r>
          </w:p>
        </w:tc>
        <w:tc>
          <w:tcPr>
            <w:tcW w:type="dxa" w:w="3231"/>
            <w:shd w:fill="FFF4E7"/>
            <w:tcMar>
              <w:top w:w="160" w:type="dxa"/>
              <w:bottom w:w="160" w:type="dxa"/>
              <w:start w:w="140" w:type="dxa"/>
              <w:end w:w="140" w:type="dxa"/>
            </w:tcMar>
            <w:tcBorders>
              <w:top w:val="single" w:sz="18" w:space="0" w:color="D87A16"/>
            </w:tcBorders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D87A16"/>
                <w:sz w:val="36"/>
              </w:rPr>
              <w:t>可回放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Run / Step 轨迹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1990"/>
            <w:shd w:fill="F5F8F9"/>
            <w:tcBorders>
              <w:top w:val="single" w:sz="14" w:space="0" w:color="0C7C8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17"/>
              </w:rPr>
              <w:t>大屏：发现</w:t>
            </w:r>
          </w:p>
        </w:tc>
        <w:tc>
          <w:tcPr>
            <w:tcW w:type="dxa" w:w="1990"/>
            <w:shd w:fill="F5F8F9"/>
            <w:tcBorders>
              <w:top w:val="single" w:sz="14" w:space="0" w:color="0C7C8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17"/>
              </w:rPr>
              <w:t>事件：确认</w:t>
            </w:r>
          </w:p>
        </w:tc>
        <w:tc>
          <w:tcPr>
            <w:tcW w:type="dxa" w:w="1990"/>
            <w:shd w:fill="F5F8F9"/>
            <w:tcBorders>
              <w:top w:val="single" w:sz="14" w:space="0" w:color="D87A1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D87A16"/>
                <w:sz w:val="17"/>
              </w:rPr>
              <w:t>工单：派发</w:t>
            </w:r>
          </w:p>
        </w:tc>
        <w:tc>
          <w:tcPr>
            <w:tcW w:type="dxa" w:w="1990"/>
            <w:shd w:fill="F5F8F9"/>
            <w:tcBorders>
              <w:top w:val="single" w:sz="14" w:space="0" w:color="6D45B8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6D45B8"/>
                <w:sz w:val="17"/>
              </w:rPr>
              <w:t>控制台：审计</w:t>
            </w:r>
          </w:p>
        </w:tc>
        <w:tc>
          <w:tcPr>
            <w:tcW w:type="dxa" w:w="1990"/>
            <w:shd w:fill="F5F8F9"/>
            <w:tcBorders>
              <w:top w:val="single" w:sz="14" w:space="0" w:color="1D7B63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D7B63"/>
                <w:sz w:val="17"/>
              </w:rPr>
              <w:t>报表：核算</w:t>
            </w:r>
          </w:p>
        </w:tc>
      </w:tr>
    </w:tbl>
    <w:p>
      <w:pPr>
        <w:spacing w:after="0"/>
      </w:pPr>
    </w:p>
    <w:p>
      <w:pPr>
        <w:spacing w:after="0" w:line="341" w:lineRule="auto"/>
      </w:pPr>
      <w:r>
        <w:rPr>
          <w:rFonts w:ascii="Microsoft YaHei" w:hAnsi="Microsoft YaHei" w:eastAsia="Microsoft YaHei"/>
          <w:color w:val="5B7079"/>
          <w:sz w:val="17"/>
        </w:rPr>
        <w:t>演示流程可在无真实摄像头时注入模拟事件，也可切换到受控执行端模拟任务下发、ACK、进度和完成；异常注入用于展示策略拒绝、审批拒绝、设备故障与模型不可用时的行为。</w:t>
      </w: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11  /  交互验证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可审计控制台：评委能看见“为什么这样派”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56000" cy="3462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-steps-view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8  Run 轨迹回放：策略、审批、工具调用、观察、验证与终止逐步骤展开</w:t>
      </w:r>
      <w:r>
        <w:rPr>
          <w:rFonts w:ascii="Microsoft YaHei" w:hAnsi="Microsoft YaHei"/>
          <w:color w:val="5B7079"/>
          <w:sz w:val="16"/>
        </w:rPr>
        <w:t xml:space="preserve">  项目截图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以一次正常派单为例，控制台显示 13 个步骤：计划、策略守卫、审批请求、事件读取、设备查询、空间派单、工单创建、观察、验证和正常终止。每一步均可看到摘要与状态；失败运行则直接显示错误码与失败位置。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2835"/>
        <w:gridCol w:w="7115"/>
      </w:tblGrid>
      <w:tr>
        <w:trPr>
          <w:tblHeader w:val="true"/>
        </w:trPr>
        <w:tc>
          <w:tcPr>
            <w:tcW w:type="dxa" w:w="283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演示问题</w:t>
            </w:r>
          </w:p>
        </w:tc>
        <w:tc>
          <w:tcPr>
            <w:tcW w:type="dxa" w:w="711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控制台给出的回答</w:t>
            </w:r>
          </w:p>
        </w:tc>
      </w:tr>
      <w:tr>
        <w:trPr>
          <w:trHeight w:val="368" w:hRule="atLeast"/>
        </w:trPr>
        <w:tc>
          <w:tcPr>
            <w:tcW w:type="dxa" w:w="283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为什么派给这台机器人？</w:t>
            </w:r>
          </w:p>
        </w:tc>
        <w:tc>
          <w:tcPr>
            <w:tcW w:type="dxa" w:w="711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展示候选、距离、同类任务加权和最终 dispatch 计划。</w:t>
            </w:r>
          </w:p>
        </w:tc>
      </w:tr>
      <w:tr>
        <w:trPr>
          <w:trHeight w:val="368" w:hRule="atLeast"/>
        </w:trPr>
        <w:tc>
          <w:tcPr>
            <w:tcW w:type="dxa" w:w="283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这次写操作谁批准了？</w:t>
            </w:r>
          </w:p>
        </w:tc>
        <w:tc>
          <w:tcPr>
            <w:tcW w:type="dxa" w:w="711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审批请求、请求人、决策人、理由和时间均可在 Run 中追溯。</w:t>
            </w:r>
          </w:p>
        </w:tc>
      </w:tr>
      <w:tr>
        <w:trPr>
          <w:trHeight w:val="368" w:hRule="atLeast"/>
        </w:trPr>
        <w:tc>
          <w:tcPr>
            <w:tcW w:type="dxa" w:w="283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工具返回后系统怎么判断？</w:t>
            </w:r>
          </w:p>
        </w:tc>
        <w:tc>
          <w:tcPr>
            <w:tcW w:type="dxa" w:w="711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观察步骤读取真实返回，验证步骤逐条核对计划期望。</w:t>
            </w:r>
          </w:p>
        </w:tc>
      </w:tr>
      <w:tr>
        <w:trPr>
          <w:trHeight w:val="368" w:hRule="atLeast"/>
        </w:trPr>
        <w:tc>
          <w:tcPr>
            <w:tcW w:type="dxa" w:w="283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7"/>
              </w:rPr>
              <w:t>失败后能不能重试又不重复建单？</w:t>
            </w:r>
          </w:p>
        </w:tc>
        <w:tc>
          <w:tcPr>
            <w:tcW w:type="dxa" w:w="711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7"/>
              </w:rPr>
              <w:t>幂等键与工具级去重保证重放不产生重复业务写入。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E8F5F5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0C7C86"/>
                <w:sz w:val="19"/>
              </w:rPr>
              <w:t xml:space="preserve">评审可见性  </w:t>
            </w:r>
            <w:r>
              <w:rPr>
                <w:rFonts w:ascii="Microsoft YaHei" w:hAnsi="Microsoft YaHei"/>
                <w:color w:val="18313B"/>
                <w:sz w:val="19"/>
              </w:rPr>
              <w:t>同一个界面同时服务操作、演示与审计：不是为答辩临时拼的日志页，而是运行时的真实状态投影。</w:t>
            </w:r>
          </w:p>
        </w:tc>
      </w:tr>
    </w:tbl>
    <w:p>
      <w:pPr>
        <w:spacing w:after="0"/>
      </w:pP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12  /  工程实现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接口与数据结构：先把契约讲清，再谈自动化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735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cle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7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9  核心数据关系：事件、任务、证据与智能体轨迹</w:t>
      </w:r>
      <w:r>
        <w:rPr>
          <w:rFonts w:ascii="Microsoft YaHei" w:hAnsi="Microsoft YaHei"/>
          <w:color w:val="5B7079"/>
          <w:sz w:val="16"/>
        </w:rPr>
        <w:t xml:space="preserve">  PostgreSQL + PostGIS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6"/>
        </w:rPr>
        <w:t>接口层用 Schema 冻结跨模块契约。事件入口采用双重幂等键；推理服务公开 provider、模型版本与降级状态；MQTT 使用 task / ack / progress / telemetry / evidence 五类主题。数据库把业务表与智能体表分开，既保证治理轨迹独立，也允许业务系统单独演进。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2268"/>
        <w:gridCol w:w="4592"/>
        <w:gridCol w:w="3090"/>
      </w:tblGrid>
      <w:tr>
        <w:trPr>
          <w:tblHeader w:val="true"/>
        </w:trPr>
        <w:tc>
          <w:tcPr>
            <w:tcW w:type="dxa" w:w="226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契约</w:t>
            </w:r>
          </w:p>
        </w:tc>
        <w:tc>
          <w:tcPr>
            <w:tcW w:type="dxa" w:w="4592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关键字段 / 主题</w:t>
            </w:r>
          </w:p>
        </w:tc>
        <w:tc>
          <w:tcPr>
            <w:tcW w:type="dxa" w:w="3090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设计意图</w:t>
            </w:r>
          </w:p>
        </w:tc>
      </w:tr>
      <w:tr>
        <w:trPr>
          <w:trHeight w:val="368" w:hRule="atLeast"/>
        </w:trPr>
        <w:tc>
          <w:tcPr>
            <w:tcW w:type="dxa" w:w="22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POST /api/v1/events</w:t>
            </w:r>
          </w:p>
        </w:tc>
        <w:tc>
          <w:tcPr>
            <w:tcW w:type="dxa" w:w="459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event_id, device_id, seq, category, confidence, bbox, location, captured_at</w:t>
            </w:r>
          </w:p>
        </w:tc>
        <w:tc>
          <w:tcPr>
            <w:tcW w:type="dxa" w:w="309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事件可重复提交但不重复入账；设备重传是正常现象</w:t>
            </w:r>
          </w:p>
        </w:tc>
      </w:tr>
      <w:tr>
        <w:trPr>
          <w:trHeight w:val="368" w:hRule="atLeast"/>
        </w:trPr>
        <w:tc>
          <w:tcPr>
            <w:tcW w:type="dxa" w:w="226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GET /agents/runs/{id}/steps</w:t>
            </w:r>
          </w:p>
        </w:tc>
        <w:tc>
          <w:tcPr>
            <w:tcW w:type="dxa" w:w="459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step_no, step_type, tool_name, input_hash, output_hash, status, error_code</w:t>
            </w:r>
          </w:p>
        </w:tc>
        <w:tc>
          <w:tcPr>
            <w:tcW w:type="dxa" w:w="309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运行轨迹只追加不覆盖，可精确回放</w:t>
            </w:r>
          </w:p>
        </w:tc>
      </w:tr>
      <w:tr>
        <w:trPr>
          <w:trHeight w:val="368" w:hRule="atLeast"/>
        </w:trPr>
        <w:tc>
          <w:tcPr>
            <w:tcW w:type="dxa" w:w="22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POST /approvals/{id}/decide</w:t>
            </w:r>
          </w:p>
        </w:tc>
        <w:tc>
          <w:tcPr>
            <w:tcW w:type="dxa" w:w="459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requested_action, risk_level, decision, reason, decided_by</w:t>
            </w:r>
          </w:p>
        </w:tc>
        <w:tc>
          <w:tcPr>
            <w:tcW w:type="dxa" w:w="309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把人工决策变成正式状态与审计事件</w:t>
            </w:r>
          </w:p>
        </w:tc>
      </w:tr>
      <w:tr>
        <w:trPr>
          <w:trHeight w:val="368" w:hRule="atLeast"/>
        </w:trPr>
        <w:tc>
          <w:tcPr>
            <w:tcW w:type="dxa" w:w="226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MQTT task/assign</w:t>
            </w:r>
          </w:p>
        </w:tc>
        <w:tc>
          <w:tcPr>
            <w:tcW w:type="dxa" w:w="459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task_id, target, priority, deadline</w:t>
            </w:r>
          </w:p>
        </w:tc>
        <w:tc>
          <w:tcPr>
            <w:tcW w:type="dxa" w:w="309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平台与执行端通过统一任务契约解耦</w:t>
            </w:r>
          </w:p>
        </w:tc>
      </w:tr>
      <w:tr>
        <w:trPr>
          <w:trHeight w:val="368" w:hRule="atLeast"/>
        </w:trPr>
        <w:tc>
          <w:tcPr>
            <w:tcW w:type="dxa" w:w="22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Evidence</w:t>
            </w:r>
          </w:p>
        </w:tc>
        <w:tc>
          <w:tcPr>
            <w:tcW w:type="dxa" w:w="459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kind, object_key, weight_kg, reviewed_by</w:t>
            </w:r>
          </w:p>
        </w:tc>
        <w:tc>
          <w:tcPr>
            <w:tcW w:type="dxa" w:w="309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闭环与核算只认证据，不用估算值冒充实测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EAF3F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0C7C86"/>
                <w:sz w:val="19"/>
              </w:rPr>
              <w:t xml:space="preserve">工程取舍  </w:t>
            </w:r>
            <w:r>
              <w:rPr>
                <w:rFonts w:ascii="Microsoft YaHei" w:hAnsi="Microsoft YaHei"/>
                <w:color w:val="18313B"/>
                <w:sz w:val="19"/>
              </w:rPr>
              <w:t>只保留关键契约：幂等、状态机、权限、审批、证据与降级；实现细节由源码与验收报告承载。</w:t>
            </w:r>
          </w:p>
        </w:tc>
      </w:tr>
    </w:tbl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13  /  软硬件集成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机械臂执行端：先把“跑通”与“抓准”分开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3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_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10  机械臂执行端证据边界</w:t>
      </w:r>
      <w:r>
        <w:rPr>
          <w:rFonts w:ascii="Microsoft YaHei" w:hAnsi="Microsoft YaHei"/>
          <w:color w:val="5B7079"/>
          <w:sz w:val="16"/>
        </w:rPr>
        <w:t xml:space="preserve">  联调存档 2026-10-17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7"/>
        </w:rPr>
        <w:t>执行端以 ArmPiFPV 为载体，板端运行 ROS 与总线舵机控制，桌面端通过 HTTP/MQTT 桥接下发任务。系统已实现六路舵机回读、逆运动学解算、TCP 自检、开机姿态服务与七标签页手动控制台；机械臂相关代码测试 91 项通过。这些结果证明“控制与执行链路”在受控环境中可工作。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dbox_sim_done_anonymo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11  平台中的执行端仿真与执行档案：任务、遥测、证据等级和生命周期</w:t>
      </w:r>
      <w:r>
        <w:rPr>
          <w:rFonts w:ascii="Microsoft YaHei" w:hAnsi="Microsoft YaHei"/>
          <w:color w:val="5B7079"/>
          <w:sz w:val="16"/>
        </w:rPr>
        <w:t xml:space="preserve">  项目截图；仿真执行，非真实海试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C34B54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FBEDEF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C34B54"/>
                <w:sz w:val="19"/>
              </w:rPr>
              <w:t xml:space="preserve">必须保留的诚实披露  </w:t>
            </w:r>
            <w:r>
              <w:rPr>
                <w:rFonts w:ascii="Microsoft YaHei" w:hAnsi="Microsoft YaHei"/>
                <w:color w:val="18313B"/>
                <w:sz w:val="19"/>
              </w:rPr>
              <w:t>自动视觉识别抓取尚未打通：室内浅色场景中模型 12/12 帧误锁夹爪；固定位置抓放动作序列无碰撞但夹爪空手。下一阶段先补仿射标定、稳定供电和场景特化数据，再宣称自动抓取。</w:t>
            </w:r>
          </w:p>
        </w:tc>
      </w:tr>
    </w:tbl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14  /  结构方案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执行端结构布局：水面与空中载体共用同一任务契约</w:t>
      </w:r>
    </w:p>
    <w:p>
      <w:pPr>
        <w:spacing w:after="0" w:line="341" w:lineRule="auto"/>
      </w:pPr>
      <w:r>
        <w:rPr>
          <w:rFonts w:ascii="Microsoft YaHei" w:hAnsi="Microsoft YaHei" w:eastAsia="Microsoft YaHei"/>
          <w:color w:val="18313B"/>
          <w:sz w:val="16"/>
        </w:rPr>
        <w:t>以下设计图说明双浮筒无人船与六旋翼无人机的部件关系、载荷位置和维护入口。三型载体共用任务下发、遥测回传、审批与证据契约，差异由 device driver 隔离；图中部件均为结构方案，不代表样机或性能证据。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33072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30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12  双浮筒无人船：机械臂、料斗与主要部件布局</w:t>
      </w:r>
      <w:r>
        <w:rPr>
          <w:rFonts w:ascii="Microsoft YaHei" w:hAnsi="Microsoft YaHei"/>
          <w:color w:val="5B7079"/>
          <w:sz w:val="16"/>
        </w:rPr>
        <w:t xml:space="preserve">  结构布局方案；非现场样机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33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13  六旋翼无人机：巡检、抓取与机载收纳布局</w:t>
      </w:r>
      <w:r>
        <w:rPr>
          <w:rFonts w:ascii="Microsoft YaHei" w:hAnsi="Microsoft YaHei"/>
          <w:color w:val="5B7079"/>
          <w:sz w:val="16"/>
        </w:rPr>
        <w:t xml:space="preserve">  结构布局方案；非现场样机</w:t>
      </w: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15  /  结构方案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地面执行端：履带底盘与拾取载荷的结构关系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292000" cy="352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14  履带无人车：沙地通行与机械臂拾取布局</w:t>
      </w:r>
      <w:r>
        <w:rPr>
          <w:rFonts w:ascii="Microsoft YaHei" w:hAnsi="Microsoft YaHei"/>
          <w:color w:val="5B7079"/>
          <w:sz w:val="16"/>
        </w:rPr>
        <w:t xml:space="preserve">  结构布局方案；非现场样机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417"/>
        <w:gridCol w:w="3402"/>
        <w:gridCol w:w="5131"/>
      </w:tblGrid>
      <w:tr>
        <w:trPr>
          <w:tblHeader w:val="true"/>
        </w:trPr>
        <w:tc>
          <w:tcPr>
            <w:tcW w:type="dxa" w:w="1417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结构单元</w:t>
            </w:r>
          </w:p>
        </w:tc>
        <w:tc>
          <w:tcPr>
            <w:tcW w:type="dxa" w:w="3402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方案中的部件</w:t>
            </w:r>
          </w:p>
        </w:tc>
        <w:tc>
          <w:tcPr>
            <w:tcW w:type="dxa" w:w="513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当前可确认的事实与待验证项</w:t>
            </w:r>
          </w:p>
        </w:tc>
      </w:tr>
      <w:tr>
        <w:trPr>
          <w:trHeight w:val="368" w:hRule="atLeast"/>
        </w:trPr>
        <w:tc>
          <w:tcPr>
            <w:tcW w:type="dxa" w:w="141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通行结构</w:t>
            </w:r>
          </w:p>
        </w:tc>
        <w:tc>
          <w:tcPr>
            <w:tcW w:type="dxa" w:w="340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履带、驱动轮、承重轮、导向轮、横向履齿</w:t>
            </w:r>
          </w:p>
        </w:tc>
        <w:tc>
          <w:tcPr>
            <w:tcW w:type="dxa" w:w="513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面向岸滩松软地面与跨障设计；实际坡度、附着、续航和通过性仍需样机测试。</w:t>
            </w:r>
          </w:p>
        </w:tc>
      </w:tr>
      <w:tr>
        <w:trPr>
          <w:trHeight w:val="368" w:hRule="atLeast"/>
        </w:trPr>
        <w:tc>
          <w:tcPr>
            <w:tcW w:type="dxa" w:w="141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拾取载荷</w:t>
            </w:r>
          </w:p>
        </w:tc>
        <w:tc>
          <w:tcPr>
            <w:tcW w:type="dxa" w:w="340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旋转底座、机械臂、腕部摄像头、夹爪</w:t>
            </w:r>
          </w:p>
        </w:tc>
        <w:tc>
          <w:tcPr>
            <w:tcW w:type="dxa" w:w="513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运动链与手动控制链路可作为后续集成基础；自动视觉抓取尚未打通。</w:t>
            </w:r>
          </w:p>
        </w:tc>
      </w:tr>
      <w:tr>
        <w:trPr>
          <w:trHeight w:val="368" w:hRule="atLeast"/>
        </w:trPr>
        <w:tc>
          <w:tcPr>
            <w:tcW w:type="dxa" w:w="141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收纳结构</w:t>
            </w:r>
          </w:p>
        </w:tc>
        <w:tc>
          <w:tcPr>
            <w:tcW w:type="dxa" w:w="3402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垃圾料斗、上甲板、电池舱检修盖</w:t>
            </w:r>
          </w:p>
        </w:tc>
        <w:tc>
          <w:tcPr>
            <w:tcW w:type="dxa" w:w="513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料斗容积、满载重心变化与行驶稳定性尚未完成称重和现场验证。</w:t>
            </w:r>
          </w:p>
        </w:tc>
      </w:tr>
      <w:tr>
        <w:trPr>
          <w:trHeight w:val="368" w:hRule="atLeast"/>
        </w:trPr>
        <w:tc>
          <w:tcPr>
            <w:tcW w:type="dxa" w:w="141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控制边界</w:t>
            </w:r>
          </w:p>
        </w:tc>
        <w:tc>
          <w:tcPr>
            <w:tcW w:type="dxa" w:w="3402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电源、通信、传感器与设备驱动接口</w:t>
            </w:r>
          </w:p>
        </w:tc>
        <w:tc>
          <w:tcPr>
            <w:tcW w:type="dxa" w:w="513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仅按任务、遥测、审批和证据契约对接；配电保护与故障降级待联调。</w:t>
            </w:r>
          </w:p>
        </w:tc>
      </w:tr>
    </w:tbl>
    <w:p>
      <w:pPr>
        <w:spacing w:after="0"/>
      </w:pPr>
    </w:p>
    <w:p>
      <w:pPr>
        <w:spacing w:after="0" w:line="341" w:lineRule="auto"/>
      </w:pPr>
      <w:r>
        <w:rPr>
          <w:rFonts w:ascii="Microsoft YaHei" w:hAnsi="Microsoft YaHei" w:eastAsia="Microsoft YaHei"/>
          <w:color w:val="075D66"/>
          <w:sz w:val="16"/>
        </w:rPr>
        <w:t>说明书结构不替代样机验收。下一步需依次完成空载行驶、载荷称重、机械臂运动链复测、仿射标定与连续受控抓取，并将每一轮的故障、能耗与成功率写入证据台账。</w:t>
      </w: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16  /  平台整合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部署形态：单机可起，边缘可插，云边协同可扩展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20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2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15  Docker Compose 部署拓扑</w:t>
      </w:r>
      <w:r>
        <w:rPr>
          <w:rFonts w:ascii="Microsoft YaHei" w:hAnsi="Microsoft YaHei"/>
          <w:color w:val="5B7079"/>
          <w:sz w:val="16"/>
        </w:rPr>
        <w:t xml:space="preserve">  当前单机部署形态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平台以 Docker Compose 组织前端、后端、AI 服务、PostgreSQL/PostGIS、Redis、EMQX 与 MinIO，可在单机环境一键启动，适合演示、试点与低成本部署。边缘侧通过 MQTT/HTTP 接入摄像头、水面机器人、无人机或机械臂，设备不直接访问数据库，执行指令必须经过任务状态机与权限边界。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474"/>
        <w:gridCol w:w="3969"/>
        <w:gridCol w:w="2268"/>
        <w:gridCol w:w="2239"/>
      </w:tblGrid>
      <w:tr>
        <w:trPr>
          <w:tblHeader w:val="true"/>
        </w:trPr>
        <w:tc>
          <w:tcPr>
            <w:tcW w:type="dxa" w:w="147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平台层次</w:t>
            </w:r>
          </w:p>
        </w:tc>
        <w:tc>
          <w:tcPr>
            <w:tcW w:type="dxa" w:w="396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技术组成</w:t>
            </w:r>
          </w:p>
        </w:tc>
        <w:tc>
          <w:tcPr>
            <w:tcW w:type="dxa" w:w="226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223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扩展方式</w:t>
            </w:r>
          </w:p>
        </w:tc>
      </w:tr>
      <w:tr>
        <w:trPr>
          <w:trHeight w:val="368" w:hRule="atLeast"/>
        </w:trPr>
        <w:tc>
          <w:tcPr>
            <w:tcW w:type="dxa" w:w="147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展示层</w:t>
            </w:r>
          </w:p>
        </w:tc>
        <w:tc>
          <w:tcPr>
            <w:tcW w:type="dxa" w:w="396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Vue 3 + Vite + 地图可视化 + 响应式布局</w:t>
            </w:r>
          </w:p>
        </w:tc>
        <w:tc>
          <w:tcPr>
            <w:tcW w:type="dxa" w:w="22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E2 可运行</w:t>
            </w:r>
          </w:p>
        </w:tc>
        <w:tc>
          <w:tcPr>
            <w:tcW w:type="dxa" w:w="223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新增移动端/小程序视图</w:t>
            </w:r>
          </w:p>
        </w:tc>
      </w:tr>
      <w:tr>
        <w:trPr>
          <w:trHeight w:val="368" w:hRule="atLeast"/>
        </w:trPr>
        <w:tc>
          <w:tcPr>
            <w:tcW w:type="dxa" w:w="147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服务层</w:t>
            </w:r>
          </w:p>
        </w:tc>
        <w:tc>
          <w:tcPr>
            <w:tcW w:type="dxa" w:w="396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FastAPI + JWT + RBAC + Schema 校验</w:t>
            </w:r>
          </w:p>
        </w:tc>
        <w:tc>
          <w:tcPr>
            <w:tcW w:type="dxa" w:w="226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E2 可运行</w:t>
            </w:r>
          </w:p>
        </w:tc>
        <w:tc>
          <w:tcPr>
            <w:tcW w:type="dxa" w:w="223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拆分微服务或接入统一网关</w:t>
            </w:r>
          </w:p>
        </w:tc>
      </w:tr>
      <w:tr>
        <w:trPr>
          <w:trHeight w:val="368" w:hRule="atLeast"/>
        </w:trPr>
        <w:tc>
          <w:tcPr>
            <w:tcW w:type="dxa" w:w="147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AI 层</w:t>
            </w:r>
          </w:p>
        </w:tc>
        <w:tc>
          <w:tcPr>
            <w:tcW w:type="dxa" w:w="396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OpenCV + ONNX Runtime + 多 provider 探测</w:t>
            </w:r>
          </w:p>
        </w:tc>
        <w:tc>
          <w:tcPr>
            <w:tcW w:type="dxa" w:w="22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E1/E2</w:t>
            </w:r>
          </w:p>
        </w:tc>
        <w:tc>
          <w:tcPr>
            <w:tcW w:type="dxa" w:w="223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替换模型、接入 Ascend/CANN</w:t>
            </w:r>
          </w:p>
        </w:tc>
      </w:tr>
      <w:tr>
        <w:trPr>
          <w:trHeight w:val="368" w:hRule="atLeast"/>
        </w:trPr>
        <w:tc>
          <w:tcPr>
            <w:tcW w:type="dxa" w:w="147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数据层</w:t>
            </w:r>
          </w:p>
        </w:tc>
        <w:tc>
          <w:tcPr>
            <w:tcW w:type="dxa" w:w="396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PostgreSQL/PostGIS + Redis Streams + MinIO</w:t>
            </w:r>
          </w:p>
        </w:tc>
        <w:tc>
          <w:tcPr>
            <w:tcW w:type="dxa" w:w="226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E2 可运行</w:t>
            </w:r>
          </w:p>
        </w:tc>
        <w:tc>
          <w:tcPr>
            <w:tcW w:type="dxa" w:w="223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托管数据库、对象存储扩容</w:t>
            </w:r>
          </w:p>
        </w:tc>
      </w:tr>
      <w:tr>
        <w:trPr>
          <w:trHeight w:val="368" w:hRule="atLeast"/>
        </w:trPr>
        <w:tc>
          <w:tcPr>
            <w:tcW w:type="dxa" w:w="147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执行层</w:t>
            </w:r>
          </w:p>
        </w:tc>
        <w:tc>
          <w:tcPr>
            <w:tcW w:type="dxa" w:w="396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EMQX/MQTT + 可插拔 driver + ROS 机械臂</w:t>
            </w:r>
          </w:p>
        </w:tc>
        <w:tc>
          <w:tcPr>
            <w:tcW w:type="dxa" w:w="226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E2 受控联调</w:t>
            </w:r>
          </w:p>
        </w:tc>
        <w:tc>
          <w:tcPr>
            <w:tcW w:type="dxa" w:w="223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海面机器人、无人机、无人船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E8F5F5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0C7C86"/>
                <w:sz w:val="19"/>
              </w:rPr>
              <w:t xml:space="preserve">平台价值  </w:t>
            </w:r>
            <w:r>
              <w:rPr>
                <w:rFonts w:ascii="Microsoft YaHei" w:hAnsi="Microsoft YaHei"/>
                <w:color w:val="18313B"/>
                <w:sz w:val="19"/>
              </w:rPr>
              <w:t>把“算法验证”变成可部署的软件资产：一次接入，可在不同水域、不同设备与不同模型之间复用；部署成本随试点规模渐进增加。</w:t>
            </w:r>
          </w:p>
        </w:tc>
      </w:tr>
    </w:tbl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17  /  Ascend 路径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国产算力与开放工具链：把迁移点前置到架构里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7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end_path_clea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16  已实测链路与待验证的昇腾迁移路径</w:t>
      </w:r>
      <w:r>
        <w:rPr>
          <w:rFonts w:ascii="Microsoft YaHei" w:hAnsi="Microsoft YaHei"/>
          <w:color w:val="5B7079"/>
          <w:sz w:val="16"/>
        </w:rPr>
        <w:t xml:space="preserve">  E2 软件集成；昇腾部分为方案设计，未做硬件实测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7"/>
        </w:rPr>
        <w:t>作品当前完成的是 ONNX 导出、输入尺寸固定、多 provider 探测和独立 HTTP 推理服务化。这为国产算力迁移留下了明确改造点：将 ONNX 通过 ATC 转为 OM，接入 CANN Execution Provider，在 ModelArts / AgentArts 上部署服务。模型适配器保持 OpenAI 兼容协议，业务层不需要理解底层芯片。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587"/>
        <w:gridCol w:w="3515"/>
        <w:gridCol w:w="2551"/>
        <w:gridCol w:w="2296"/>
      </w:tblGrid>
      <w:tr>
        <w:trPr>
          <w:tblHeader w:val="true"/>
        </w:trPr>
        <w:tc>
          <w:tcPr>
            <w:tcW w:type="dxa" w:w="1587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51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当前证据</w:t>
            </w:r>
          </w:p>
        </w:tc>
        <w:tc>
          <w:tcPr>
            <w:tcW w:type="dxa" w:w="255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下一步</w:t>
            </w:r>
          </w:p>
        </w:tc>
        <w:tc>
          <w:tcPr>
            <w:tcW w:type="dxa" w:w="2296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验收口径</w:t>
            </w:r>
          </w:p>
        </w:tc>
      </w:tr>
      <w:tr>
        <w:trPr>
          <w:trHeight w:val="368" w:hRule="atLeast"/>
        </w:trPr>
        <w:tc>
          <w:tcPr>
            <w:tcW w:type="dxa" w:w="158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模型导出</w:t>
            </w:r>
          </w:p>
        </w:tc>
        <w:tc>
          <w:tcPr>
            <w:tcW w:type="dxa" w:w="351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ONNX 导出与 `--verify` 自检</w:t>
            </w:r>
          </w:p>
        </w:tc>
        <w:tc>
          <w:tcPr>
            <w:tcW w:type="dxa" w:w="255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固定算子集与版本矩阵</w:t>
            </w:r>
          </w:p>
        </w:tc>
        <w:tc>
          <w:tcPr>
            <w:tcW w:type="dxa" w:w="229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同一输入输出在 CPU/目标芯片一致</w:t>
            </w:r>
          </w:p>
        </w:tc>
      </w:tr>
      <w:tr>
        <w:trPr>
          <w:trHeight w:val="368" w:hRule="atLeast"/>
        </w:trPr>
        <w:tc>
          <w:tcPr>
            <w:tcW w:type="dxa" w:w="158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推理服务</w:t>
            </w:r>
          </w:p>
        </w:tc>
        <w:tc>
          <w:tcPr>
            <w:tcW w:type="dxa" w:w="351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HTTP /infer/detect、/infer/health</w:t>
            </w:r>
          </w:p>
        </w:tc>
        <w:tc>
          <w:tcPr>
            <w:tcW w:type="dxa" w:w="255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增加 Ascend provider 健康检查</w:t>
            </w:r>
          </w:p>
        </w:tc>
        <w:tc>
          <w:tcPr>
            <w:tcW w:type="dxa" w:w="229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provider、模型版本、降级原因可观测</w:t>
            </w:r>
          </w:p>
        </w:tc>
      </w:tr>
      <w:tr>
        <w:trPr>
          <w:trHeight w:val="368" w:hRule="atLeast"/>
        </w:trPr>
        <w:tc>
          <w:tcPr>
            <w:tcW w:type="dxa" w:w="158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云端智能体</w:t>
            </w:r>
          </w:p>
        </w:tc>
        <w:tc>
          <w:tcPr>
            <w:tcW w:type="dxa" w:w="351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ModelArts / AgentArts 部署设计</w:t>
            </w:r>
          </w:p>
        </w:tc>
        <w:tc>
          <w:tcPr>
            <w:tcW w:type="dxa" w:w="255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工具调用与审批链路联调</w:t>
            </w:r>
          </w:p>
        </w:tc>
        <w:tc>
          <w:tcPr>
            <w:tcW w:type="dxa" w:w="229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Run 轨迹、超时与审批记录完整</w:t>
            </w:r>
          </w:p>
        </w:tc>
      </w:tr>
      <w:tr>
        <w:trPr>
          <w:trHeight w:val="368" w:hRule="atLeast"/>
        </w:trPr>
        <w:tc>
          <w:tcPr>
            <w:tcW w:type="dxa" w:w="158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工具生态</w:t>
            </w:r>
          </w:p>
        </w:tc>
        <w:tc>
          <w:tcPr>
            <w:tcW w:type="dxa" w:w="351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MCP 协议与 5 个 Skills 接入</w:t>
            </w:r>
          </w:p>
        </w:tc>
        <w:tc>
          <w:tcPr>
            <w:tcW w:type="dxa" w:w="255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统一注册、版本与权限策略</w:t>
            </w:r>
          </w:p>
        </w:tc>
        <w:tc>
          <w:tcPr>
            <w:tcW w:type="dxa" w:w="229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越权工具被拒绝且产生审计事件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D87A1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FFF4E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D87A16"/>
                <w:sz w:val="19"/>
              </w:rPr>
              <w:t xml:space="preserve">诚实边界  </w:t>
            </w:r>
            <w:r>
              <w:rPr>
                <w:rFonts w:ascii="Microsoft YaHei" w:hAnsi="Microsoft YaHei"/>
                <w:color w:val="18313B"/>
                <w:sz w:val="19"/>
              </w:rPr>
              <w:t>当前没有昇腾硬件推理实测，不把“可迁移”写成“已跑通”。迁移完成前，所有相关表述均标注为方案级；这正是工程评审中应有的证据纪律。</w:t>
            </w:r>
          </w:p>
        </w:tc>
      </w:tr>
    </w:tbl>
    <w:p>
      <w:pPr>
        <w:spacing w:after="0"/>
      </w:pP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18  /  测试与验收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验证证据：27 个场景、129 项集成检查，指标不混用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7408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resul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40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17  治理智能体固定评测：场景通过、业务成功与待优化指标并列</w:t>
      </w:r>
      <w:r>
        <w:rPr>
          <w:rFonts w:ascii="Microsoft YaHei" w:hAnsi="Microsoft YaHei"/>
          <w:color w:val="5B7079"/>
          <w:sz w:val="16"/>
        </w:rPr>
        <w:t xml:space="preserve">  E1；无网络、无真实模型、无真实设备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7"/>
        </w:rPr>
        <w:t>固定评测包含正常派单、无设备、策略拒绝、审批拒绝、审批超时、工具超时、最大步数、无效循环、重规划恢复、模型不可用、幂等重放、持久化重启、模型 Schema 错误、并发冲突、角色交接、设备故障注入等场景。27 个场景断言全部通过，但这不是“业务成功率 100%”：其中包含预期失败路径。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31"/>
        <w:gridCol w:w="3231"/>
        <w:gridCol w:w="3231"/>
      </w:tblGrid>
      <w:tr>
        <w:tc>
          <w:tcPr>
            <w:tcW w:type="dxa" w:w="3231"/>
            <w:shd w:fill="EAF3F7"/>
            <w:tcMar>
              <w:top w:w="160" w:type="dxa"/>
              <w:bottom w:w="160" w:type="dxa"/>
              <w:start w:w="140" w:type="dxa"/>
              <w:end w:w="140" w:type="dxa"/>
            </w:tcMar>
            <w:tcBorders>
              <w:top w:val="single" w:sz="18" w:space="0" w:color="0C7C86"/>
            </w:tcBorders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0C7C86"/>
                <w:sz w:val="36"/>
              </w:rPr>
              <w:t>62.96%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业务成功场景占比</w:t>
            </w:r>
          </w:p>
        </w:tc>
        <w:tc>
          <w:tcPr>
            <w:tcW w:type="dxa" w:w="3231"/>
            <w:shd w:fill="FFF4E7"/>
            <w:tcMar>
              <w:top w:w="160" w:type="dxa"/>
              <w:bottom w:w="160" w:type="dxa"/>
              <w:start w:w="140" w:type="dxa"/>
              <w:end w:w="140" w:type="dxa"/>
            </w:tcMar>
            <w:tcBorders>
              <w:top w:val="single" w:sz="18" w:space="0" w:color="D87A16"/>
            </w:tcBorders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D87A16"/>
                <w:sz w:val="36"/>
              </w:rPr>
              <w:t>33.33%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可恢复异常恢复率</w:t>
            </w:r>
          </w:p>
        </w:tc>
        <w:tc>
          <w:tcPr>
            <w:tcW w:type="dxa" w:w="3231"/>
            <w:shd w:fill="FBEDEF"/>
            <w:tcMar>
              <w:top w:w="160" w:type="dxa"/>
              <w:bottom w:w="160" w:type="dxa"/>
              <w:start w:w="140" w:type="dxa"/>
              <w:end w:w="140" w:type="dxa"/>
            </w:tcMar>
            <w:tcBorders>
              <w:top w:val="single" w:sz="18" w:space="0" w:color="C34B54"/>
            </w:tcBorders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C34B54"/>
                <w:sz w:val="36"/>
              </w:rPr>
              <w:t>7.41%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无效循环占比</w:t>
            </w:r>
          </w:p>
        </w:tc>
      </w:tr>
    </w:tbl>
    <w:p>
      <w:pPr>
        <w:spacing w:after="0"/>
      </w:pPr>
    </w:p>
    <w:p>
      <w:pPr>
        <w:spacing w:after="100" w:line="341" w:lineRule="auto"/>
      </w:pPr>
      <w:r>
        <w:rPr>
          <w:rFonts w:ascii="Microsoft YaHei" w:hAnsi="Microsoft YaHei" w:eastAsia="Microsoft YaHei"/>
          <w:color w:val="5B7079"/>
          <w:sz w:val="17"/>
        </w:rPr>
        <w:t>业务成功、策略违规、轨迹回放、重启恢复、审批交接和工具正确率使用不同分母，不能合并成一个“总准确率”。真实 HTTP + PostgreSQL 验收的 129 项检查全部通过；它验证了鉴权、持久化、审批、幂等与只读回放，但使用合成 HTTP 事件，没有真实摄像头、海域、用户或硬件数据。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EAF3F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0C7C86"/>
                <w:sz w:val="19"/>
              </w:rPr>
              <w:t xml:space="preserve">证据边界  </w:t>
            </w:r>
            <w:r>
              <w:rPr>
                <w:rFonts w:ascii="Microsoft YaHei" w:hAnsi="Microsoft YaHei"/>
                <w:color w:val="18313B"/>
                <w:sz w:val="19"/>
              </w:rPr>
              <w:t>E1 = 软件/仿真测试；E2 = 真实组件集成受控实验；E3 = 真实海域/设备/用户现场验证。本作品当前最高证据等级为 E2，不宣称生产就绪或商业订单。</w:t>
            </w:r>
          </w:p>
        </w:tc>
      </w:tr>
    </w:tbl>
    <w:p>
      <w:pPr>
        <w:spacing w:after="0"/>
      </w:pP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19  /  证据链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证据台账：每一项能力都能回到文件、版本与口径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92000" cy="1169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stri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1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18  四项核心评审数字</w:t>
      </w:r>
      <w:r>
        <w:rPr>
          <w:rFonts w:ascii="Microsoft YaHei" w:hAnsi="Microsoft YaHei"/>
          <w:color w:val="5B7079"/>
          <w:sz w:val="16"/>
        </w:rPr>
        <w:t xml:space="preserve">  对应 artifacts 目录中的机器可读报告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2324"/>
        <w:gridCol w:w="3118"/>
        <w:gridCol w:w="2551"/>
        <w:gridCol w:w="1956"/>
      </w:tblGrid>
      <w:tr>
        <w:trPr>
          <w:tblHeader w:val="true"/>
        </w:trPr>
        <w:tc>
          <w:tcPr>
            <w:tcW w:type="dxa" w:w="232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证据项</w:t>
            </w:r>
          </w:p>
        </w:tc>
        <w:tc>
          <w:tcPr>
            <w:tcW w:type="dxa" w:w="311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关键结果</w:t>
            </w:r>
          </w:p>
        </w:tc>
        <w:tc>
          <w:tcPr>
            <w:tcW w:type="dxa" w:w="255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能证明什么</w:t>
            </w:r>
          </w:p>
        </w:tc>
        <w:tc>
          <w:tcPr>
            <w:tcW w:type="dxa" w:w="1956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不能证明什么</w:t>
            </w:r>
          </w:p>
        </w:tc>
      </w:tr>
      <w:tr>
        <w:trPr>
          <w:trHeight w:val="368" w:hRule="atLeast"/>
        </w:trPr>
        <w:tc>
          <w:tcPr>
            <w:tcW w:type="dxa" w:w="232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agent_evals/latest_v2.json</w:t>
            </w:r>
          </w:p>
        </w:tc>
        <w:tc>
          <w:tcPr>
            <w:tcW w:type="dxa" w:w="311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27/27 场景断言；89 次工具选择中 88 次正确；0 次策略违规</w:t>
            </w:r>
          </w:p>
        </w:tc>
        <w:tc>
          <w:tcPr>
            <w:tcW w:type="dxa" w:w="255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智能体状态机、策略、审批、回放与异常路径</w:t>
            </w:r>
          </w:p>
        </w:tc>
        <w:tc>
          <w:tcPr>
            <w:tcW w:type="dxa" w:w="195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真实模型在开放环境的稳定性</w:t>
            </w:r>
          </w:p>
        </w:tc>
      </w:tr>
      <w:tr>
        <w:trPr>
          <w:trHeight w:val="368" w:hRule="atLeast"/>
        </w:trPr>
        <w:tc>
          <w:tcPr>
            <w:tcW w:type="dxa" w:w="232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agent-real-state-acceptance/latest.json</w:t>
            </w:r>
          </w:p>
        </w:tc>
        <w:tc>
          <w:tcPr>
            <w:tcW w:type="dxa" w:w="311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129/129 检查；真实 HTTP + 鉴权 + PostgreSQL + 审批 + 重启只读回放</w:t>
            </w:r>
          </w:p>
        </w:tc>
        <w:tc>
          <w:tcPr>
            <w:tcW w:type="dxa" w:w="255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组件集成与持久化契约</w:t>
            </w:r>
          </w:p>
        </w:tc>
        <w:tc>
          <w:tcPr>
            <w:tcW w:type="dxa" w:w="195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真实摄像头、海区、用户或生产流量</w:t>
            </w:r>
          </w:p>
        </w:tc>
      </w:tr>
      <w:tr>
        <w:trPr>
          <w:trHeight w:val="368" w:hRule="atLeast"/>
        </w:trPr>
        <w:tc>
          <w:tcPr>
            <w:tcW w:type="dxa" w:w="232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YOLO11 public benchmark</w:t>
            </w:r>
          </w:p>
        </w:tc>
        <w:tc>
          <w:tcPr>
            <w:tcW w:type="dxa" w:w="311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mAP@0.5 = 0.5135；mAP@0.5:0.95 = 0.3444</w:t>
            </w:r>
          </w:p>
        </w:tc>
        <w:tc>
          <w:tcPr>
            <w:tcW w:type="dxa" w:w="255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训练/评估流程与模型基本有效性</w:t>
            </w:r>
          </w:p>
        </w:tc>
        <w:tc>
          <w:tcPr>
            <w:tcW w:type="dxa" w:w="195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连江现场或本设备精度</w:t>
            </w:r>
          </w:p>
        </w:tc>
      </w:tr>
      <w:tr>
        <w:trPr>
          <w:trHeight w:val="368" w:hRule="atLeast"/>
        </w:trPr>
        <w:tc>
          <w:tcPr>
            <w:tcW w:type="dxa" w:w="232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机械臂联调存档</w:t>
            </w:r>
          </w:p>
        </w:tc>
        <w:tc>
          <w:tcPr>
            <w:tcW w:type="dxa" w:w="311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6 舵机回读、IK、TCP、开机姿态、91 项测试通过</w:t>
            </w:r>
          </w:p>
        </w:tc>
        <w:tc>
          <w:tcPr>
            <w:tcW w:type="dxa" w:w="255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控制与执行链路可在受控环境运行</w:t>
            </w:r>
          </w:p>
        </w:tc>
        <w:tc>
          <w:tcPr>
            <w:tcW w:type="dxa" w:w="195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自动视觉抓取成功或海面作业能力</w:t>
            </w:r>
          </w:p>
        </w:tc>
      </w:tr>
      <w:tr>
        <w:trPr>
          <w:trHeight w:val="368" w:hRule="atLeast"/>
        </w:trPr>
        <w:tc>
          <w:tcPr>
            <w:tcW w:type="dxa" w:w="232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UI / Agent Console</w:t>
            </w:r>
          </w:p>
        </w:tc>
        <w:tc>
          <w:tcPr>
            <w:tcW w:type="dxa" w:w="311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大屏、工单、控制台、Run 步骤与审批界面可操作</w:t>
            </w:r>
          </w:p>
        </w:tc>
        <w:tc>
          <w:tcPr>
            <w:tcW w:type="dxa" w:w="255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产品形态与操作流程已实现</w:t>
            </w:r>
          </w:p>
        </w:tc>
        <w:tc>
          <w:tcPr>
            <w:tcW w:type="dxa" w:w="195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外观截图本身不能替代现场效果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E8F5F5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0C7C86"/>
                <w:sz w:val="19"/>
              </w:rPr>
              <w:t xml:space="preserve">可复核性  </w:t>
            </w:r>
            <w:r>
              <w:rPr>
                <w:rFonts w:ascii="Microsoft YaHei" w:hAnsi="Microsoft YaHei"/>
                <w:color w:val="18313B"/>
                <w:sz w:val="19"/>
              </w:rPr>
              <w:t>所有关键结果由 JSON/Markdown 报告与代码版本生成；文档中的百分比、分母和环境限制均可回溯。团队没有把“演示跑过”写成“现场验证过”，也没有把“方案可迁移”写成“硬件已部署”。</w:t>
            </w:r>
          </w:p>
        </w:tc>
      </w:tr>
    </w:tbl>
    <w:p>
      <w:pPr>
        <w:spacing w:after="0"/>
      </w:pPr>
    </w:p>
    <w:p>
      <w:pPr>
        <w:spacing w:after="100" w:line="341" w:lineRule="auto"/>
      </w:pPr>
      <w:r>
        <w:rPr>
          <w:rFonts w:ascii="Microsoft YaHei" w:hAnsi="Microsoft YaHei" w:eastAsia="Microsoft YaHei"/>
          <w:color w:val="5B7079"/>
          <w:sz w:val="17"/>
        </w:rPr>
        <w:t>评审核对顺序：先确认报告版本与生成时间，再核对分母与环境限制，最后检查结论是否越过证据等级。任何单项百分比都不单独作为“系统准确率”。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17"/>
        <w:gridCol w:w="3317"/>
        <w:gridCol w:w="3317"/>
      </w:tblGrid>
      <w:tr>
        <w:tc>
          <w:tcPr>
            <w:tcW w:type="dxa" w:w="3317"/>
            <w:shd w:fill="F5F8F9"/>
            <w:tcBorders>
              <w:top w:val="single" w:sz="14" w:space="0" w:color="0C7C8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17"/>
              </w:rPr>
              <w:t>01  版本与时间</w:t>
            </w:r>
          </w:p>
        </w:tc>
        <w:tc>
          <w:tcPr>
            <w:tcW w:type="dxa" w:w="3317"/>
            <w:shd w:fill="F5F8F9"/>
            <w:tcBorders>
              <w:top w:val="single" w:sz="14" w:space="0" w:color="D87A1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D87A16"/>
                <w:sz w:val="17"/>
              </w:rPr>
              <w:t>02  分母与环境</w:t>
            </w:r>
          </w:p>
        </w:tc>
        <w:tc>
          <w:tcPr>
            <w:tcW w:type="dxa" w:w="3317"/>
            <w:shd w:fill="F5F8F9"/>
            <w:tcBorders>
              <w:top w:val="single" w:sz="14" w:space="0" w:color="1D7B63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D7B63"/>
                <w:sz w:val="17"/>
              </w:rPr>
              <w:t>03  证据等级</w:t>
            </w:r>
          </w:p>
        </w:tc>
      </w:tr>
    </w:tbl>
    <w:p>
      <w:pPr>
        <w:spacing w:after="0"/>
      </w:pP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20  /  代码导航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源码组织：五层代码边界与关键入口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仓库按“业务平台 + 智能体内核 + 感知服务 + 边缘执行 + 前端展示 + 部署与验证”组织。评审可从关键目录直接定位实现与测试，不需要在单一巨型文件中猜结构。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2381"/>
        <w:gridCol w:w="4195"/>
        <w:gridCol w:w="3373"/>
      </w:tblGrid>
      <w:tr>
        <w:trPr>
          <w:tblHeader w:val="true"/>
        </w:trPr>
        <w:tc>
          <w:tcPr>
            <w:tcW w:type="dxa" w:w="238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419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373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关键入口 / 证据</w:t>
            </w:r>
          </w:p>
        </w:tc>
      </w:tr>
      <w:tr>
        <w:trPr>
          <w:trHeight w:val="368" w:hRule="atLeast"/>
        </w:trPr>
        <w:tc>
          <w:tcPr>
            <w:tcW w:type="dxa" w:w="238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backend/app/api</w:t>
            </w:r>
          </w:p>
        </w:tc>
        <w:tc>
          <w:tcPr>
            <w:tcW w:type="dxa" w:w="419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事件、设备、任务、审批、报表 API</w:t>
            </w:r>
          </w:p>
        </w:tc>
        <w:tc>
          <w:tcPr>
            <w:tcW w:type="dxa" w:w="337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`api/v1/events.py`, `agents.py`</w:t>
            </w:r>
          </w:p>
        </w:tc>
      </w:tr>
      <w:tr>
        <w:trPr>
          <w:trHeight w:val="368" w:hRule="atLeast"/>
        </w:trPr>
        <w:tc>
          <w:tcPr>
            <w:tcW w:type="dxa" w:w="238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backend/app/services/agents</w:t>
            </w:r>
          </w:p>
        </w:tc>
        <w:tc>
          <w:tcPr>
            <w:tcW w:type="dxa" w:w="419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运行时、规划器、策略、工具、持久化、回放</w:t>
            </w:r>
          </w:p>
        </w:tc>
        <w:tc>
          <w:tcPr>
            <w:tcW w:type="dxa" w:w="337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`runtime.py`, `policy.py`, `tools.py`</w:t>
            </w:r>
          </w:p>
        </w:tc>
      </w:tr>
      <w:tr>
        <w:trPr>
          <w:trHeight w:val="368" w:hRule="atLeast"/>
        </w:trPr>
        <w:tc>
          <w:tcPr>
            <w:tcW w:type="dxa" w:w="238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backend/app/services/detection</w:t>
            </w:r>
          </w:p>
        </w:tc>
        <w:tc>
          <w:tcPr>
            <w:tcW w:type="dxa" w:w="419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时序验证、跟踪、冷却窗口</w:t>
            </w:r>
          </w:p>
        </w:tc>
        <w:tc>
          <w:tcPr>
            <w:tcW w:type="dxa" w:w="337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`detection/temporal.py`</w:t>
            </w:r>
          </w:p>
        </w:tc>
      </w:tr>
      <w:tr>
        <w:trPr>
          <w:trHeight w:val="368" w:hRule="atLeast"/>
        </w:trPr>
        <w:tc>
          <w:tcPr>
            <w:tcW w:type="dxa" w:w="238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backend/app/services/dispatch</w:t>
            </w:r>
          </w:p>
        </w:tc>
        <w:tc>
          <w:tcPr>
            <w:tcW w:type="dxa" w:w="419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PostGIS 邻近派单与业务打分</w:t>
            </w:r>
          </w:p>
        </w:tc>
        <w:tc>
          <w:tcPr>
            <w:tcW w:type="dxa" w:w="337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`dispatch/spatial.py`</w:t>
            </w:r>
          </w:p>
        </w:tc>
      </w:tr>
      <w:tr>
        <w:trPr>
          <w:trHeight w:val="368" w:hRule="atLeast"/>
        </w:trPr>
        <w:tc>
          <w:tcPr>
            <w:tcW w:type="dxa" w:w="238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backend/app/services/task</w:t>
            </w:r>
          </w:p>
        </w:tc>
        <w:tc>
          <w:tcPr>
            <w:tcW w:type="dxa" w:w="419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任务状态机与非法迁移守卫</w:t>
            </w:r>
          </w:p>
        </w:tc>
        <w:tc>
          <w:tcPr>
            <w:tcW w:type="dxa" w:w="337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`task/state_machine.py`</w:t>
            </w:r>
          </w:p>
        </w:tc>
      </w:tr>
      <w:tr>
        <w:trPr>
          <w:trHeight w:val="368" w:hRule="atLeast"/>
        </w:trPr>
        <w:tc>
          <w:tcPr>
            <w:tcW w:type="dxa" w:w="238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ml</w:t>
            </w:r>
          </w:p>
        </w:tc>
        <w:tc>
          <w:tcPr>
            <w:tcW w:type="dxa" w:w="419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检测器、训练/评估、ONNX 导出</w:t>
            </w:r>
          </w:p>
        </w:tc>
        <w:tc>
          <w:tcPr>
            <w:tcW w:type="dxa" w:w="337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`detectors/`, `scripts/export_onnx.py`</w:t>
            </w:r>
          </w:p>
        </w:tc>
      </w:tr>
      <w:tr>
        <w:trPr>
          <w:trHeight w:val="368" w:hRule="atLeast"/>
        </w:trPr>
        <w:tc>
          <w:tcPr>
            <w:tcW w:type="dxa" w:w="238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edge/grasp</w:t>
            </w:r>
          </w:p>
        </w:tc>
        <w:tc>
          <w:tcPr>
            <w:tcW w:type="dxa" w:w="419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机械臂控制、标定、桥接、仿真与测试</w:t>
            </w:r>
          </w:p>
        </w:tc>
        <w:tc>
          <w:tcPr>
            <w:tcW w:type="dxa" w:w="337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`grasp/deploy/`, `scripts/calib_point.py`</w:t>
            </w:r>
          </w:p>
        </w:tc>
      </w:tr>
      <w:tr>
        <w:trPr>
          <w:trHeight w:val="368" w:hRule="atLeast"/>
        </w:trPr>
        <w:tc>
          <w:tcPr>
            <w:tcW w:type="dxa" w:w="238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frontend</w:t>
            </w:r>
          </w:p>
        </w:tc>
        <w:tc>
          <w:tcPr>
            <w:tcW w:type="dxa" w:w="419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Vue 3 监测大屏、工单、控制台、报表</w:t>
            </w:r>
          </w:p>
        </w:tc>
        <w:tc>
          <w:tcPr>
            <w:tcW w:type="dxa" w:w="337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`src/views/`, `src/components/`</w:t>
            </w:r>
          </w:p>
        </w:tc>
      </w:tr>
      <w:tr>
        <w:trPr>
          <w:trHeight w:val="368" w:hRule="atLeast"/>
        </w:trPr>
        <w:tc>
          <w:tcPr>
            <w:tcW w:type="dxa" w:w="238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deploy</w:t>
            </w:r>
          </w:p>
        </w:tc>
        <w:tc>
          <w:tcPr>
            <w:tcW w:type="dxa" w:w="419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Docker Compose、环境配置、生产编排</w:t>
            </w:r>
          </w:p>
        </w:tc>
        <w:tc>
          <w:tcPr>
            <w:tcW w:type="dxa" w:w="3373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`docker-compose.yml`, `deploy/`</w:t>
            </w:r>
          </w:p>
        </w:tc>
      </w:tr>
      <w:tr>
        <w:trPr>
          <w:trHeight w:val="368" w:hRule="atLeast"/>
        </w:trPr>
        <w:tc>
          <w:tcPr>
            <w:tcW w:type="dxa" w:w="238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artifacts</w:t>
            </w:r>
          </w:p>
        </w:tc>
        <w:tc>
          <w:tcPr>
            <w:tcW w:type="dxa" w:w="419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评测、验收、截图、联调报告</w:t>
            </w:r>
          </w:p>
        </w:tc>
        <w:tc>
          <w:tcPr>
            <w:tcW w:type="dxa" w:w="3373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`agent_evals/`, `agent-real-state-acceptance/`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EAF3F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0C7C86"/>
                <w:sz w:val="19"/>
              </w:rPr>
              <w:t xml:space="preserve">评审建议  </w:t>
            </w:r>
            <w:r>
              <w:rPr>
                <w:rFonts w:ascii="Microsoft YaHei" w:hAnsi="Microsoft YaHei"/>
                <w:color w:val="18313B"/>
                <w:sz w:val="19"/>
              </w:rPr>
              <w:t>先看 `runtime.py` 与 `tools.py` 理解治理内核，再看 `temporal.py` 与 `spatial.py` 理解业务闭环，最后用 artifacts 中的机器可读报告核对文档数字。</w:t>
            </w:r>
          </w:p>
        </w:tc>
      </w:tr>
    </w:tbl>
    <w:p>
      <w:pPr>
        <w:spacing w:after="0"/>
      </w:pP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21  /  市场与用户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方案价值：从一次性项目到可复制基础设施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目标市场不是泛化的“环保 AI”，而是具有明确责任主体、固定巡查半径和持续处置需求的近岸水域。优先切入养殖区、乡镇河道/岸滩、景区水域与港区，再向区域联网和标准化输出扩展。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928"/>
        <w:gridCol w:w="2948"/>
        <w:gridCol w:w="3005"/>
        <w:gridCol w:w="2069"/>
      </w:tblGrid>
      <w:tr>
        <w:trPr>
          <w:tblHeader w:val="true"/>
        </w:trPr>
        <w:tc>
          <w:tcPr>
            <w:tcW w:type="dxa" w:w="192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94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主要痛点</w:t>
            </w:r>
          </w:p>
        </w:tc>
        <w:tc>
          <w:tcPr>
            <w:tcW w:type="dxa" w:w="300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首期可交付价值</w:t>
            </w:r>
          </w:p>
        </w:tc>
        <w:tc>
          <w:tcPr>
            <w:tcW w:type="dxa" w:w="206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付费/运营逻辑</w:t>
            </w:r>
          </w:p>
        </w:tc>
      </w:tr>
      <w:tr>
        <w:trPr>
          <w:trHeight w:val="368" w:hRule="atLeast"/>
        </w:trPr>
        <w:tc>
          <w:tcPr>
            <w:tcW w:type="dxa" w:w="192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近岸养殖区</w:t>
            </w:r>
          </w:p>
        </w:tc>
        <w:tc>
          <w:tcPr>
            <w:tcW w:type="dxa" w:w="294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漂浮物发现晚、人工巡塘成本高、责任分散</w:t>
            </w:r>
          </w:p>
        </w:tc>
        <w:tc>
          <w:tcPr>
            <w:tcW w:type="dxa" w:w="300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监测 + 派单 + 执行记录 + 日报</w:t>
            </w:r>
          </w:p>
        </w:tc>
        <w:tc>
          <w:tcPr>
            <w:tcW w:type="dxa" w:w="206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按点位订阅 + 边缘设备 + 运营服务</w:t>
            </w:r>
          </w:p>
        </w:tc>
      </w:tr>
      <w:tr>
        <w:trPr>
          <w:trHeight w:val="368" w:hRule="atLeast"/>
        </w:trPr>
        <w:tc>
          <w:tcPr>
            <w:tcW w:type="dxa" w:w="192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乡镇岸滩/河道</w:t>
            </w:r>
          </w:p>
        </w:tc>
        <w:tc>
          <w:tcPr>
            <w:tcW w:type="dxa" w:w="294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巡查范围广、误报多、考核缺证据</w:t>
            </w:r>
          </w:p>
        </w:tc>
        <w:tc>
          <w:tcPr>
            <w:tcW w:type="dxa" w:w="300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时序降噪 + 工单 + 前后影像</w:t>
            </w:r>
          </w:p>
        </w:tc>
        <w:tc>
          <w:tcPr>
            <w:tcW w:type="dxa" w:w="206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按乡镇/水域包年，叠加运维</w:t>
            </w:r>
          </w:p>
        </w:tc>
      </w:tr>
      <w:tr>
        <w:trPr>
          <w:trHeight w:val="368" w:hRule="atLeast"/>
        </w:trPr>
        <w:tc>
          <w:tcPr>
            <w:tcW w:type="dxa" w:w="192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景区水域</w:t>
            </w:r>
          </w:p>
        </w:tc>
        <w:tc>
          <w:tcPr>
            <w:tcW w:type="dxa" w:w="294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形象风险高、响应窗口短</w:t>
            </w:r>
          </w:p>
        </w:tc>
        <w:tc>
          <w:tcPr>
            <w:tcW w:type="dxa" w:w="300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重点点位监测 + 快速派单 + 事件回放</w:t>
            </w:r>
          </w:p>
        </w:tc>
        <w:tc>
          <w:tcPr>
            <w:tcW w:type="dxa" w:w="206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活动保障 + 年度运维</w:t>
            </w:r>
          </w:p>
        </w:tc>
      </w:tr>
      <w:tr>
        <w:trPr>
          <w:trHeight w:val="368" w:hRule="atLeast"/>
        </w:trPr>
        <w:tc>
          <w:tcPr>
            <w:tcW w:type="dxa" w:w="192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港区/码头</w:t>
            </w:r>
          </w:p>
        </w:tc>
        <w:tc>
          <w:tcPr>
            <w:tcW w:type="dxa" w:w="294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设备多、任务复杂、数据分散</w:t>
            </w:r>
          </w:p>
        </w:tc>
        <w:tc>
          <w:tcPr>
            <w:tcW w:type="dxa" w:w="300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多设备接入 + 证据报表 + 权限审计</w:t>
            </w:r>
          </w:p>
        </w:tc>
        <w:tc>
          <w:tcPr>
            <w:tcW w:type="dxa" w:w="206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平台授权 + 行业集成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31"/>
        <w:gridCol w:w="3231"/>
        <w:gridCol w:w="3231"/>
      </w:tblGrid>
      <w:tr>
        <w:tc>
          <w:tcPr>
            <w:tcW w:type="dxa" w:w="3231"/>
            <w:shd w:fill="EAF3F7"/>
            <w:tcMar>
              <w:top w:w="160" w:type="dxa"/>
              <w:bottom w:w="160" w:type="dxa"/>
              <w:start w:w="140" w:type="dxa"/>
              <w:end w:w="140" w:type="dxa"/>
            </w:tcMar>
            <w:tcBorders>
              <w:top w:val="single" w:sz="18" w:space="0" w:color="0C7C86"/>
            </w:tcBorders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0C7C86"/>
                <w:sz w:val="36"/>
              </w:rPr>
              <w:t>4 类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首批目标用户角色</w:t>
            </w:r>
          </w:p>
        </w:tc>
        <w:tc>
          <w:tcPr>
            <w:tcW w:type="dxa" w:w="3231"/>
            <w:shd w:fill="EAF7F1"/>
            <w:tcMar>
              <w:top w:w="160" w:type="dxa"/>
              <w:bottom w:w="160" w:type="dxa"/>
              <w:start w:w="140" w:type="dxa"/>
              <w:end w:w="140" w:type="dxa"/>
            </w:tcMar>
            <w:tcBorders>
              <w:top w:val="single" w:sz="18" w:space="0" w:color="1D7B63"/>
            </w:tcBorders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1D7B63"/>
                <w:sz w:val="36"/>
              </w:rPr>
              <w:t>3 层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软件 / 边缘 / 运营收入</w:t>
            </w:r>
          </w:p>
        </w:tc>
        <w:tc>
          <w:tcPr>
            <w:tcW w:type="dxa" w:w="3231"/>
            <w:shd w:fill="FFF4E7"/>
            <w:tcMar>
              <w:top w:w="160" w:type="dxa"/>
              <w:bottom w:w="160" w:type="dxa"/>
              <w:start w:w="140" w:type="dxa"/>
              <w:end w:w="140" w:type="dxa"/>
            </w:tcMar>
            <w:tcBorders>
              <w:top w:val="single" w:sz="18" w:space="0" w:color="D87A16"/>
            </w:tcBorders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D87A16"/>
                <w:sz w:val="36"/>
              </w:rPr>
              <w:t>可复制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5B7079"/>
                <w:sz w:val="17"/>
              </w:rPr>
              <w:t>点位 → 县域 → 区域</w:t>
            </w:r>
          </w:p>
        </w:tc>
      </w:tr>
    </w:tbl>
    <w:p>
      <w:pPr>
        <w:spacing w:after="0"/>
      </w:pP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7"/>
        </w:rPr>
        <w:t>商业上不依赖一次性定制：平台负责统一的事件、智能体、证据与报表；边缘设备负责就地感知与执行；本地服务商负责安装、标定和运维。单点试运行后，复制成本主要来自设备与现场服务，而不是重写软件。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D87A1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FFF4E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D87A16"/>
                <w:sz w:val="19"/>
              </w:rPr>
              <w:t xml:space="preserve">不做过度承诺  </w:t>
            </w:r>
            <w:r>
              <w:rPr>
                <w:rFonts w:ascii="Microsoft YaHei" w:hAnsi="Microsoft YaHei"/>
                <w:color w:val="18313B"/>
                <w:sz w:val="19"/>
              </w:rPr>
              <w:t>本作品尚无真实订单、回款或规模客户，因此不宣称商业验证。当前竞争壁垒来自完整的治理契约、可审计运行轨迹与软硬件解耦，而不是账面收入。</w:t>
            </w:r>
          </w:p>
        </w:tc>
      </w:tr>
    </w:tbl>
    <w:p>
      <w:pPr>
        <w:spacing w:after="0"/>
      </w:pP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22  /  价值实现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社会价值与落地路径：先让一个点位真正闭环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56000" cy="1915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v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9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</w:pPr>
      <w:r>
        <w:rPr>
          <w:rFonts w:ascii="Microsoft YaHei" w:hAnsi="Microsoft YaHei"/>
          <w:i/>
          <w:color w:val="5B7079"/>
          <w:sz w:val="16"/>
        </w:rPr>
        <w:t>图 19  分阶段落地路径与退出条件</w:t>
      </w:r>
      <w:r>
        <w:rPr>
          <w:rFonts w:ascii="Microsoft YaHei" w:hAnsi="Microsoft YaHei"/>
          <w:color w:val="5B7079"/>
          <w:sz w:val="16"/>
        </w:rPr>
        <w:t xml:space="preserve">  自绘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社会价值来自三个可验证方向：减少人工临水巡检暴露、减少无效出勤、把治理结果沉淀为可追溯的公共数据。对养殖户，重点是降低污染风险与巡塘负担；对乡镇，重点是把“有人发现”变成“有人负责、有人核实”；对监管，重点是统一口径而不是再增加一套孤立的报表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417"/>
        <w:gridCol w:w="2154"/>
        <w:gridCol w:w="4139"/>
        <w:gridCol w:w="2239"/>
      </w:tblGrid>
      <w:tr>
        <w:trPr>
          <w:tblHeader w:val="true"/>
        </w:trPr>
        <w:tc>
          <w:tcPr>
            <w:tcW w:type="dxa" w:w="1417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15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核心目标</w:t>
            </w:r>
          </w:p>
        </w:tc>
        <w:tc>
          <w:tcPr>
            <w:tcW w:type="dxa" w:w="413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必达验收</w:t>
            </w:r>
          </w:p>
        </w:tc>
        <w:tc>
          <w:tcPr>
            <w:tcW w:type="dxa" w:w="223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停止条件</w:t>
            </w:r>
          </w:p>
        </w:tc>
      </w:tr>
      <w:tr>
        <w:trPr>
          <w:trHeight w:val="368" w:hRule="atLeast"/>
        </w:trPr>
        <w:tc>
          <w:tcPr>
            <w:tcW w:type="dxa" w:w="141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0-3 个月</w:t>
            </w:r>
          </w:p>
        </w:tc>
        <w:tc>
          <w:tcPr>
            <w:tcW w:type="dxa" w:w="215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单点闭环</w:t>
            </w:r>
          </w:p>
        </w:tc>
        <w:tc>
          <w:tcPr>
            <w:tcW w:type="dxa" w:w="413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真实点位连续运行；事件→工单→证据链路可用；机械臂抓取完成受控验证</w:t>
            </w:r>
          </w:p>
        </w:tc>
        <w:tc>
          <w:tcPr>
            <w:tcW w:type="dxa" w:w="223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无现场准入或供电/标定无法稳定则暂停扩展</w:t>
            </w:r>
          </w:p>
        </w:tc>
      </w:tr>
      <w:tr>
        <w:trPr>
          <w:trHeight w:val="368" w:hRule="atLeast"/>
        </w:trPr>
        <w:tc>
          <w:tcPr>
            <w:tcW w:type="dxa" w:w="141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3-6 个月</w:t>
            </w:r>
          </w:p>
        </w:tc>
        <w:tc>
          <w:tcPr>
            <w:tcW w:type="dxa" w:w="215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县域复制</w:t>
            </w:r>
          </w:p>
        </w:tc>
        <w:tc>
          <w:tcPr>
            <w:tcW w:type="dxa" w:w="413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2-3 个点位、多设备派单、运营手册与周报</w:t>
            </w:r>
          </w:p>
        </w:tc>
        <w:tc>
          <w:tcPr>
            <w:tcW w:type="dxa" w:w="223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故障率或人工接管率超过约定阈值则回退单点</w:t>
            </w:r>
          </w:p>
        </w:tc>
      </w:tr>
      <w:tr>
        <w:trPr>
          <w:trHeight w:val="368" w:hRule="atLeast"/>
        </w:trPr>
        <w:tc>
          <w:tcPr>
            <w:tcW w:type="dxa" w:w="141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6-12 个月</w:t>
            </w:r>
          </w:p>
        </w:tc>
        <w:tc>
          <w:tcPr>
            <w:tcW w:type="dxa" w:w="215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区域协同</w:t>
            </w:r>
          </w:p>
        </w:tc>
        <w:tc>
          <w:tcPr>
            <w:tcW w:type="dxa" w:w="413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跨点位数据共享、国产算力迁移、统一考核口径</w:t>
            </w:r>
          </w:p>
        </w:tc>
        <w:tc>
          <w:tcPr>
            <w:tcW w:type="dxa" w:w="223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隐私、数据安全或运维成本不可接受则不联网</w:t>
            </w:r>
          </w:p>
        </w:tc>
      </w:tr>
      <w:tr>
        <w:trPr>
          <w:trHeight w:val="368" w:hRule="atLeast"/>
        </w:trPr>
        <w:tc>
          <w:tcPr>
            <w:tcW w:type="dxa" w:w="141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12 个月+</w:t>
            </w:r>
          </w:p>
        </w:tc>
        <w:tc>
          <w:tcPr>
            <w:tcW w:type="dxa" w:w="215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标准输出</w:t>
            </w:r>
          </w:p>
        </w:tc>
        <w:tc>
          <w:tcPr>
            <w:tcW w:type="dxa" w:w="413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开放接口、设备生态与行业数据规范</w:t>
            </w:r>
          </w:p>
        </w:tc>
        <w:tc>
          <w:tcPr>
            <w:tcW w:type="dxa" w:w="223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未形成可复制的运营与责任边界则不宣称规模化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E8F5F5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0C7C86"/>
                <w:sz w:val="19"/>
              </w:rPr>
              <w:t xml:space="preserve">社会价值的可量化方向  </w:t>
            </w:r>
            <w:r>
              <w:rPr>
                <w:rFonts w:ascii="Microsoft YaHei" w:hAnsi="Microsoft YaHei"/>
                <w:color w:val="18313B"/>
                <w:sz w:val="19"/>
              </w:rPr>
              <w:t>后续试点统一记录：无效出勤减少比例、单事件平均闭环时长、证据完整率、人工接管率、单位清理重量与设备可用率。没有基线和审计口径的“社会效益”不进入正式结论。</w:t>
            </w:r>
          </w:p>
        </w:tc>
      </w:tr>
    </w:tbl>
    <w:p>
      <w:pPr>
        <w:spacing w:after="0"/>
      </w:pP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23  /  竞争分析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差异化：不与通用模型比参数，而与治理系统比闭环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漂浮垃圾识别已有成熟模型，机器人控制也有成熟方案。Oceanus 的差异化不在单点指标绝对领先，而在于把感知、派单、审批、执行、证据和核算组合成一个可复用的治理系统，并明确每一层的可替换边界。</w:t>
      </w:r>
    </w:p>
    <w:tbl>
      <w:tblPr>
        <w:tblW w:type="dxa" w:w="1051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2154"/>
        <w:gridCol w:w="1701"/>
        <w:gridCol w:w="1531"/>
        <w:gridCol w:w="1644"/>
        <w:gridCol w:w="1587"/>
        <w:gridCol w:w="1899"/>
      </w:tblGrid>
      <w:tr>
        <w:trPr>
          <w:tblHeader w:val="true"/>
        </w:trPr>
        <w:tc>
          <w:tcPr>
            <w:tcW w:type="dxa" w:w="215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方案形态</w:t>
            </w:r>
          </w:p>
        </w:tc>
        <w:tc>
          <w:tcPr>
            <w:tcW w:type="dxa" w:w="170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能发现</w:t>
            </w:r>
          </w:p>
        </w:tc>
        <w:tc>
          <w:tcPr>
            <w:tcW w:type="dxa" w:w="153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能派单</w:t>
            </w:r>
          </w:p>
        </w:tc>
        <w:tc>
          <w:tcPr>
            <w:tcW w:type="dxa" w:w="164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能受控执行</w:t>
            </w:r>
          </w:p>
        </w:tc>
        <w:tc>
          <w:tcPr>
            <w:tcW w:type="dxa" w:w="1587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能审计/回放</w:t>
            </w:r>
          </w:p>
        </w:tc>
        <w:tc>
          <w:tcPr>
            <w:tcW w:type="dxa" w:w="189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主要短板</w:t>
            </w:r>
          </w:p>
        </w:tc>
      </w:tr>
      <w:tr>
        <w:trPr>
          <w:trHeight w:val="368" w:hRule="atLeast"/>
        </w:trPr>
        <w:tc>
          <w:tcPr>
            <w:tcW w:type="dxa" w:w="215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人工巡查 + 微信群</w:t>
            </w:r>
          </w:p>
        </w:tc>
        <w:tc>
          <w:tcPr>
            <w:tcW w:type="dxa" w:w="170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依赖人眼</w:t>
            </w:r>
          </w:p>
        </w:tc>
        <w:tc>
          <w:tcPr>
            <w:tcW w:type="dxa" w:w="153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人工协调</w:t>
            </w:r>
          </w:p>
        </w:tc>
        <w:tc>
          <w:tcPr>
            <w:tcW w:type="dxa" w:w="164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人工操作</w:t>
            </w:r>
          </w:p>
        </w:tc>
        <w:tc>
          <w:tcPr>
            <w:tcW w:type="dxa" w:w="158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聊天记录分散</w:t>
            </w:r>
          </w:p>
        </w:tc>
        <w:tc>
          <w:tcPr>
            <w:tcW w:type="dxa" w:w="189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覆盖有限、责任链不清</w:t>
            </w:r>
          </w:p>
        </w:tc>
      </w:tr>
      <w:tr>
        <w:trPr>
          <w:trHeight w:val="368" w:hRule="atLeast"/>
        </w:trPr>
        <w:tc>
          <w:tcPr>
            <w:tcW w:type="dxa" w:w="215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通用视觉告警</w:t>
            </w:r>
          </w:p>
        </w:tc>
        <w:tc>
          <w:tcPr>
            <w:tcW w:type="dxa" w:w="170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通常较强</w:t>
            </w:r>
          </w:p>
        </w:tc>
        <w:tc>
          <w:tcPr>
            <w:tcW w:type="dxa" w:w="153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较弱</w:t>
            </w:r>
          </w:p>
        </w:tc>
        <w:tc>
          <w:tcPr>
            <w:tcW w:type="dxa" w:w="164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通常无</w:t>
            </w:r>
          </w:p>
        </w:tc>
        <w:tc>
          <w:tcPr>
            <w:tcW w:type="dxa" w:w="158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告警日志有限</w:t>
            </w:r>
          </w:p>
        </w:tc>
        <w:tc>
          <w:tcPr>
            <w:tcW w:type="dxa" w:w="189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误报直接进入业务，缺少闭环</w:t>
            </w:r>
          </w:p>
        </w:tc>
      </w:tr>
      <w:tr>
        <w:trPr>
          <w:trHeight w:val="368" w:hRule="atLeast"/>
        </w:trPr>
        <w:tc>
          <w:tcPr>
            <w:tcW w:type="dxa" w:w="215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通用机器人平台</w:t>
            </w:r>
          </w:p>
        </w:tc>
        <w:tc>
          <w:tcPr>
            <w:tcW w:type="dxa" w:w="170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取决于外设</w:t>
            </w:r>
          </w:p>
        </w:tc>
        <w:tc>
          <w:tcPr>
            <w:tcW w:type="dxa" w:w="153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可能有</w:t>
            </w:r>
          </w:p>
        </w:tc>
        <w:tc>
          <w:tcPr>
            <w:tcW w:type="dxa" w:w="164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较强</w:t>
            </w:r>
          </w:p>
        </w:tc>
        <w:tc>
          <w:tcPr>
            <w:tcW w:type="dxa" w:w="158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偏设备日志</w:t>
            </w:r>
          </w:p>
        </w:tc>
        <w:tc>
          <w:tcPr>
            <w:tcW w:type="dxa" w:w="189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业务证据与治理口径弱</w:t>
            </w:r>
          </w:p>
        </w:tc>
      </w:tr>
      <w:tr>
        <w:trPr>
          <w:trHeight w:val="368" w:hRule="atLeast"/>
        </w:trPr>
        <w:tc>
          <w:tcPr>
            <w:tcW w:type="dxa" w:w="2154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Oceanus</w:t>
            </w:r>
          </w:p>
        </w:tc>
        <w:tc>
          <w:tcPr>
            <w:tcW w:type="dxa" w:w="1701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公开基准 + 时序收敛</w:t>
            </w:r>
          </w:p>
        </w:tc>
        <w:tc>
          <w:tcPr>
            <w:tcW w:type="dxa" w:w="1531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PostGIS + 多因子</w:t>
            </w:r>
          </w:p>
        </w:tc>
        <w:tc>
          <w:tcPr>
            <w:tcW w:type="dxa" w:w="1644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策略/审批/状态机</w:t>
            </w:r>
          </w:p>
        </w:tc>
        <w:tc>
          <w:tcPr>
            <w:tcW w:type="dxa" w:w="1587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Run/Step + 前后证据</w:t>
            </w:r>
          </w:p>
        </w:tc>
        <w:tc>
          <w:tcPr>
            <w:tcW w:type="dxa" w:w="1899"/>
            <w:shd w:fill="EAF3F7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现场验证与自动抓取仍待补齐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EAF3F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0C7C86"/>
                <w:sz w:val="19"/>
              </w:rPr>
              <w:t xml:space="preserve">核心竞争壁垒  </w:t>
            </w:r>
            <w:r>
              <w:rPr>
                <w:rFonts w:ascii="Microsoft YaHei" w:hAnsi="Microsoft YaHei"/>
                <w:color w:val="18313B"/>
                <w:sz w:val="19"/>
              </w:rPr>
              <w:t>不是某一次模型跑分，而是“事件证据化 + 决策可审计 + 执行受控 + 结果可核算”的系统组合。它把模型能力变成可运营、可追责、可复制的基础设施。</w:t>
            </w:r>
          </w:p>
        </w:tc>
      </w:tr>
    </w:tbl>
    <w:p>
      <w:pPr>
        <w:spacing w:after="0"/>
      </w:pPr>
    </w:p>
    <w:p>
      <w:pPr>
        <w:spacing w:after="100" w:line="341" w:lineRule="auto"/>
      </w:pPr>
      <w:r>
        <w:rPr>
          <w:rFonts w:ascii="Microsoft YaHei" w:hAnsi="Microsoft YaHei" w:eastAsia="Microsoft YaHei"/>
          <w:color w:val="075D66"/>
          <w:sz w:val="18"/>
        </w:rPr>
        <w:t>最适合先赢下的三个评审问题</w:t>
      </w:r>
    </w:p>
    <w:p>
      <w:pPr>
        <w:pStyle w:val="ListBullet"/>
        <w:spacing w:after="60" w:line="324" w:lineRule="auto"/>
        <w:ind w:left="312" w:hanging="142"/>
      </w:pPr>
      <w:r>
        <w:rPr>
          <w:rFonts w:ascii="Microsoft YaHei" w:hAnsi="Microsoft YaHei" w:eastAsia="Microsoft YaHei"/>
          <w:color w:val="18313B"/>
          <w:sz w:val="18"/>
        </w:rPr>
        <w:t>为什么不是普通告警系统？因为每条事件都能进入任务、审批、执行和证据闭环，而不是停在画面。</w:t>
      </w:r>
    </w:p>
    <w:p>
      <w:pPr>
        <w:pStyle w:val="ListBullet"/>
        <w:spacing w:after="60" w:line="324" w:lineRule="auto"/>
        <w:ind w:left="312" w:hanging="142"/>
      </w:pPr>
      <w:r>
        <w:rPr>
          <w:rFonts w:ascii="Microsoft YaHei" w:hAnsi="Microsoft YaHei" w:eastAsia="Microsoft YaHei"/>
          <w:color w:val="18313B"/>
          <w:sz w:val="18"/>
        </w:rPr>
        <w:t>为什么不是通用智能体套壳？因为策略守卫、工具权限、幂等、回放和评测是运行内核的一部分。</w:t>
      </w:r>
    </w:p>
    <w:p>
      <w:pPr>
        <w:pStyle w:val="ListBullet"/>
        <w:spacing w:after="60" w:line="324" w:lineRule="auto"/>
        <w:ind w:left="312" w:hanging="142"/>
      </w:pPr>
      <w:r>
        <w:rPr>
          <w:rFonts w:ascii="Microsoft YaHei" w:hAnsi="Microsoft YaHei" w:eastAsia="Microsoft YaHei"/>
          <w:color w:val="18313B"/>
          <w:sz w:val="18"/>
        </w:rPr>
        <w:t>为什么值得继续投入？因为模型和设备可替换，治理契约与数据资产会持续积累。</w:t>
      </w: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24  /  路线与风险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风险收敛与下一步：每条限制都对应一个可验收动作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参赛文档最重要的不是把所有能力写得完美，而是让评委相信团队知道边界在哪里、下一步如何验证。当前主要风险集中在现场感知、机械臂抓取、供电稳定、国产算力迁移和真实用户验证五个方面。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701"/>
        <w:gridCol w:w="2891"/>
        <w:gridCol w:w="2948"/>
        <w:gridCol w:w="2409"/>
      </w:tblGrid>
      <w:tr>
        <w:trPr>
          <w:tblHeader w:val="true"/>
        </w:trPr>
        <w:tc>
          <w:tcPr>
            <w:tcW w:type="dxa" w:w="170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891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当前事实</w:t>
            </w:r>
          </w:p>
        </w:tc>
        <w:tc>
          <w:tcPr>
            <w:tcW w:type="dxa" w:w="2948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下一动作</w:t>
            </w:r>
          </w:p>
        </w:tc>
        <w:tc>
          <w:tcPr>
            <w:tcW w:type="dxa" w:w="2409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完成标准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现场域偏移</w:t>
            </w:r>
          </w:p>
        </w:tc>
        <w:tc>
          <w:tcPr>
            <w:tcW w:type="dxa" w:w="289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公开基准三个区域差异明显；尚无连江现场数据</w:t>
            </w:r>
          </w:p>
        </w:tc>
        <w:tc>
          <w:tcPr>
            <w:tcW w:type="dxa" w:w="294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采集 1 个养殖区连续两周图像，建立本地验证集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形成按区域、光照、潮汐分层的本地报告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自动抓取未完成</w:t>
            </w:r>
          </w:p>
        </w:tc>
        <w:tc>
          <w:tcPr>
            <w:tcW w:type="dxa" w:w="289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室内 12/12 帧误锁夹爪；夹爪空手</w:t>
            </w:r>
          </w:p>
        </w:tc>
        <w:tc>
          <w:tcPr>
            <w:tcW w:type="dxa" w:w="294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深色背景 + 4 点仿射标定 + 现场特化数据</w:t>
            </w:r>
          </w:p>
        </w:tc>
        <w:tc>
          <w:tcPr>
            <w:tcW w:type="dxa" w:w="240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连续 20 次受控抓取，分别报告抓取与入仓成功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板端供电不稳</w:t>
            </w:r>
          </w:p>
        </w:tc>
        <w:tc>
          <w:tcPr>
            <w:tcW w:type="dxa" w:w="289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多次重启，疑似欠压</w:t>
            </w:r>
          </w:p>
        </w:tc>
        <w:tc>
          <w:tcPr>
            <w:tcW w:type="dxa" w:w="294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更换 5V/3A 电源与粗线，增加电压监测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连续 2 小时执行无重启，故障可告警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昇腾未实测</w:t>
            </w:r>
          </w:p>
        </w:tc>
        <w:tc>
          <w:tcPr>
            <w:tcW w:type="dxa" w:w="2891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目前完成 ONNX 与多 provider 设计</w:t>
            </w:r>
          </w:p>
        </w:tc>
        <w:tc>
          <w:tcPr>
            <w:tcW w:type="dxa" w:w="2948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ATC 转 OM、CANN provider、目标硬件联调</w:t>
            </w:r>
          </w:p>
        </w:tc>
        <w:tc>
          <w:tcPr>
            <w:tcW w:type="dxa" w:w="2409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同一输入输出一致，时延与稳定性达标</w:t>
            </w:r>
          </w:p>
        </w:tc>
      </w:tr>
      <w:tr>
        <w:trPr>
          <w:trHeight w:val="368" w:hRule="atLeast"/>
        </w:trPr>
        <w:tc>
          <w:tcPr>
            <w:tcW w:type="dxa" w:w="170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真实运营未验证</w:t>
            </w:r>
          </w:p>
        </w:tc>
        <w:tc>
          <w:tcPr>
            <w:tcW w:type="dxa" w:w="2891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无订单、无现场用户、无规模数据</w:t>
            </w:r>
          </w:p>
        </w:tc>
        <w:tc>
          <w:tcPr>
            <w:tcW w:type="dxa" w:w="2948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1 个乡镇/养殖区试点，签验收指标</w:t>
            </w:r>
          </w:p>
        </w:tc>
        <w:tc>
          <w:tcPr>
            <w:tcW w:type="dxa" w:w="2409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闭环时长、证据完整率与接管率达到约定阈值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E8F5F5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0C7C86"/>
                <w:sz w:val="19"/>
              </w:rPr>
              <w:t xml:space="preserve">90 天冲刺  </w:t>
            </w:r>
            <w:r>
              <w:rPr>
                <w:rFonts w:ascii="Microsoft YaHei" w:hAnsi="Microsoft YaHei"/>
                <w:color w:val="18313B"/>
                <w:sz w:val="19"/>
              </w:rPr>
              <w:t>完成一个真实点位的最小闭环：本地数据验证、事件→工单→证据全链路、机械臂受控抓取、一次断电/断网恢复演练。不以“页面更漂亮”代替现场证据。</w:t>
            </w:r>
          </w:p>
        </w:tc>
      </w:tr>
    </w:tbl>
    <w:p>
      <w:pPr>
        <w:spacing w:after="0"/>
      </w:pPr>
    </w:p>
    <w:p>
      <w:pPr>
        <w:spacing w:after="100" w:line="341" w:lineRule="auto"/>
      </w:pPr>
      <w:r>
        <w:rPr>
          <w:rFonts w:ascii="Microsoft YaHei" w:hAnsi="Microsoft YaHei" w:eastAsia="Microsoft YaHei"/>
          <w:color w:val="075D66"/>
          <w:sz w:val="18"/>
        </w:rPr>
        <w:t>评审现场 5 分钟演示脚本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304"/>
        <w:gridCol w:w="1814"/>
        <w:gridCol w:w="3515"/>
        <w:gridCol w:w="3317"/>
      </w:tblGrid>
      <w:tr>
        <w:trPr>
          <w:tblHeader w:val="true"/>
        </w:trPr>
        <w:tc>
          <w:tcPr>
            <w:tcW w:type="dxa" w:w="130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81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演示动作</w:t>
            </w:r>
          </w:p>
        </w:tc>
        <w:tc>
          <w:tcPr>
            <w:tcW w:type="dxa" w:w="3515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操作内容</w:t>
            </w:r>
          </w:p>
        </w:tc>
        <w:tc>
          <w:tcPr>
            <w:tcW w:type="dxa" w:w="3317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屏幕上可核对的证据</w:t>
            </w:r>
          </w:p>
        </w:tc>
      </w:tr>
      <w:tr>
        <w:trPr>
          <w:trHeight w:val="368" w:hRule="atLeast"/>
        </w:trPr>
        <w:tc>
          <w:tcPr>
            <w:tcW w:type="dxa" w:w="130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0:00-0:45</w:t>
            </w:r>
          </w:p>
        </w:tc>
        <w:tc>
          <w:tcPr>
            <w:tcW w:type="dxa" w:w="181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事件入站</w:t>
            </w:r>
          </w:p>
        </w:tc>
        <w:tc>
          <w:tcPr>
            <w:tcW w:type="dxa" w:w="351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注入一张水面垃圾图或模拟事件</w:t>
            </w:r>
          </w:p>
        </w:tc>
        <w:tc>
          <w:tcPr>
            <w:tcW w:type="dxa" w:w="331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事件号、时空信息、置信度与去重结果</w:t>
            </w:r>
          </w:p>
        </w:tc>
      </w:tr>
      <w:tr>
        <w:trPr>
          <w:trHeight w:val="368" w:hRule="atLeast"/>
        </w:trPr>
        <w:tc>
          <w:tcPr>
            <w:tcW w:type="dxa" w:w="130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0:45-1:45</w:t>
            </w:r>
          </w:p>
        </w:tc>
        <w:tc>
          <w:tcPr>
            <w:tcW w:type="dxa" w:w="181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验证与派单</w:t>
            </w:r>
          </w:p>
        </w:tc>
        <w:tc>
          <w:tcPr>
            <w:tcW w:type="dxa" w:w="351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展示连续命中、冷却窗口与候选设备评分</w:t>
            </w:r>
          </w:p>
        </w:tc>
        <w:tc>
          <w:tcPr>
            <w:tcW w:type="dxa" w:w="331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为何派、派给谁、优先级依据</w:t>
            </w:r>
          </w:p>
        </w:tc>
      </w:tr>
      <w:tr>
        <w:trPr>
          <w:trHeight w:val="368" w:hRule="atLeast"/>
        </w:trPr>
        <w:tc>
          <w:tcPr>
            <w:tcW w:type="dxa" w:w="130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1:45-3:15</w:t>
            </w:r>
          </w:p>
        </w:tc>
        <w:tc>
          <w:tcPr>
            <w:tcW w:type="dxa" w:w="181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审批与执行</w:t>
            </w:r>
          </w:p>
        </w:tc>
        <w:tc>
          <w:tcPr>
            <w:tcW w:type="dxa" w:w="3515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切换角色触发写操作审批，再下发仿真任务</w:t>
            </w:r>
          </w:p>
        </w:tc>
        <w:tc>
          <w:tcPr>
            <w:tcW w:type="dxa" w:w="3317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审批人/理由、状态机、ACK、进度与遥测</w:t>
            </w:r>
          </w:p>
        </w:tc>
      </w:tr>
      <w:tr>
        <w:trPr>
          <w:trHeight w:val="368" w:hRule="atLeast"/>
        </w:trPr>
        <w:tc>
          <w:tcPr>
            <w:tcW w:type="dxa" w:w="130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5"/>
              </w:rPr>
              <w:t>3:15-5:00</w:t>
            </w:r>
          </w:p>
        </w:tc>
        <w:tc>
          <w:tcPr>
            <w:tcW w:type="dxa" w:w="181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故障与回放</w:t>
            </w:r>
          </w:p>
        </w:tc>
        <w:tc>
          <w:tcPr>
            <w:tcW w:type="dxa" w:w="3515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注入模型不可用或工具超时，打开证据台账与轨迹回放</w:t>
            </w:r>
          </w:p>
        </w:tc>
        <w:tc>
          <w:tcPr>
            <w:tcW w:type="dxa" w:w="3317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5"/>
              </w:rPr>
              <w:t>安全终止、错误码、回放一致与证据边界</w:t>
            </w:r>
          </w:p>
        </w:tc>
      </w:tr>
    </w:tbl>
    <w:p>
      <w:pPr>
        <w:spacing w:after="0"/>
      </w:pPr>
    </w:p>
    <w:p>
      <w:pPr>
        <w:pageBreakBefore/>
        <w:spacing w:before="0" w:after="40"/>
      </w:pPr>
      <w:r>
        <w:rPr>
          <w:rFonts w:ascii="Aptos" w:hAnsi="Aptos"/>
          <w:b/>
          <w:color w:val="0C7C86"/>
          <w:sz w:val="17"/>
        </w:rPr>
        <w:t>25  /  附录</w:t>
      </w:r>
    </w:p>
    <w:p>
      <w:pPr>
        <w:pStyle w:val="Heading1"/>
        <w:spacing w:before="0" w:after="180"/>
        <w:pBdr>
          <w:bottom w:val="single" w:sz="10" w:space="4" w:color="0C7C86"/>
        </w:pBdr>
      </w:pPr>
      <w:r>
        <w:rPr>
          <w:rFonts w:ascii="Microsoft YaHei" w:hAnsi="Microsoft YaHei" w:eastAsia="Microsoft YaHei"/>
          <w:color w:val="103B4A"/>
          <w:sz w:val="42"/>
        </w:rPr>
        <w:t>证据索引：让评委能沿着一条路径完成核验</w:t>
      </w:r>
    </w:p>
    <w:p>
      <w:pPr>
        <w:spacing w:after="100" w:line="341" w:lineRule="auto"/>
      </w:pPr>
      <w:r>
        <w:rPr>
          <w:rFonts w:ascii="Microsoft YaHei" w:hAnsi="Microsoft YaHei" w:eastAsia="Microsoft YaHei"/>
          <w:color w:val="18313B"/>
          <w:sz w:val="18"/>
        </w:rPr>
        <w:t>本设计文档只保留与评审决策相关的技术深度，完整实现、测试与联调记录通过下列证据索引继续追踪。所有路径均为项目内相对路径，不包含学校、姓名、联系方式等身份信息。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3E7"/>
          <w:left w:val="single" w:sz="4" w:color="D8E3E7"/>
          <w:bottom w:val="single" w:sz="4" w:color="D8E3E7"/>
          <w:right w:val="single" w:sz="4" w:color="D8E3E7"/>
          <w:insideH w:val="single" w:sz="4" w:color="D8E3E7"/>
          <w:insideV w:val="single" w:sz="4" w:color="D8E3E7"/>
        </w:tblBorders>
      </w:tblPr>
      <w:tblGrid>
        <w:gridCol w:w="1814"/>
        <w:gridCol w:w="4876"/>
        <w:gridCol w:w="3260"/>
      </w:tblGrid>
      <w:tr>
        <w:trPr>
          <w:tblHeader w:val="true"/>
        </w:trPr>
        <w:tc>
          <w:tcPr>
            <w:tcW w:type="dxa" w:w="1814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证据类别</w:t>
            </w:r>
          </w:p>
        </w:tc>
        <w:tc>
          <w:tcPr>
            <w:tcW w:type="dxa" w:w="4876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项目内位置</w:t>
            </w:r>
          </w:p>
        </w:tc>
        <w:tc>
          <w:tcPr>
            <w:tcW w:type="dxa" w:w="3260"/>
            <w:shd w:fill="103B4A"/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trHeight w:val="368" w:hRule="atLeast"/>
        </w:trPr>
        <w:tc>
          <w:tcPr>
            <w:tcW w:type="dxa" w:w="181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系统设计与源码</w:t>
            </w:r>
          </w:p>
        </w:tc>
        <w:tc>
          <w:tcPr>
            <w:tcW w:type="dxa" w:w="487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`backend/`, `ml/`, `edge/`, `frontend/`, `deploy/`</w:t>
            </w:r>
          </w:p>
        </w:tc>
        <w:tc>
          <w:tcPr>
            <w:tcW w:type="dxa" w:w="326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架构、模块、接口、数据结构、部署与执行端实现</w:t>
            </w:r>
          </w:p>
        </w:tc>
      </w:tr>
      <w:tr>
        <w:trPr>
          <w:trHeight w:val="368" w:hRule="atLeast"/>
        </w:trPr>
        <w:tc>
          <w:tcPr>
            <w:tcW w:type="dxa" w:w="181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智能体评测</w:t>
            </w:r>
          </w:p>
        </w:tc>
        <w:tc>
          <w:tcPr>
            <w:tcW w:type="dxa" w:w="487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`artifacts/agent_evals/latest_v2.json`</w:t>
            </w:r>
          </w:p>
        </w:tc>
        <w:tc>
          <w:tcPr>
            <w:tcW w:type="dxa" w:w="326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27 个固定场景、指标定义、分母与环境限制</w:t>
            </w:r>
          </w:p>
        </w:tc>
      </w:tr>
      <w:tr>
        <w:trPr>
          <w:trHeight w:val="368" w:hRule="atLeast"/>
        </w:trPr>
        <w:tc>
          <w:tcPr>
            <w:tcW w:type="dxa" w:w="181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集成验收</w:t>
            </w:r>
          </w:p>
        </w:tc>
        <w:tc>
          <w:tcPr>
            <w:tcW w:type="dxa" w:w="487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`artifacts/agent-real-state-acceptance/latest.json`</w:t>
            </w:r>
          </w:p>
        </w:tc>
        <w:tc>
          <w:tcPr>
            <w:tcW w:type="dxa" w:w="326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129 项 HTTP + DB + 审批 + 幂等 + 回放检查</w:t>
            </w:r>
          </w:p>
        </w:tc>
      </w:tr>
      <w:tr>
        <w:trPr>
          <w:trHeight w:val="368" w:hRule="atLeast"/>
        </w:trPr>
        <w:tc>
          <w:tcPr>
            <w:tcW w:type="dxa" w:w="181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机械臂联调</w:t>
            </w:r>
          </w:p>
        </w:tc>
        <w:tc>
          <w:tcPr>
            <w:tcW w:type="dxa" w:w="487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`项目文档/探海灵眸_机械臂_联调存档_20261017.md`</w:t>
            </w:r>
          </w:p>
        </w:tc>
        <w:tc>
          <w:tcPr>
            <w:tcW w:type="dxa" w:w="326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已验证链路、未完成抓取、供电/标定缺陷与复现步骤</w:t>
            </w:r>
          </w:p>
        </w:tc>
      </w:tr>
      <w:tr>
        <w:trPr>
          <w:trHeight w:val="368" w:hRule="atLeast"/>
        </w:trPr>
        <w:tc>
          <w:tcPr>
            <w:tcW w:type="dxa" w:w="1814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平台截图</w:t>
            </w:r>
          </w:p>
        </w:tc>
        <w:tc>
          <w:tcPr>
            <w:tcW w:type="dxa" w:w="4876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`artifacts/ui-responsive/`, `artifacts/agent-console/`</w:t>
            </w:r>
          </w:p>
        </w:tc>
        <w:tc>
          <w:tcPr>
            <w:tcW w:type="dxa" w:w="3260"/>
            <w:shd w:fill="FFFFFF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大屏、工单、控制台、Run 步骤与审批界面</w:t>
            </w:r>
          </w:p>
        </w:tc>
      </w:tr>
      <w:tr>
        <w:trPr>
          <w:trHeight w:val="368" w:hRule="atLeast"/>
        </w:trPr>
        <w:tc>
          <w:tcPr>
            <w:tcW w:type="dxa" w:w="1814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03B4A"/>
                <w:sz w:val="16"/>
              </w:rPr>
              <w:t>检测示例</w:t>
            </w:r>
          </w:p>
        </w:tc>
        <w:tc>
          <w:tcPr>
            <w:tcW w:type="dxa" w:w="4876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项目辅助材料 `04_检测效果图/`</w:t>
            </w:r>
          </w:p>
        </w:tc>
        <w:tc>
          <w:tcPr>
            <w:tcW w:type="dxa" w:w="3260"/>
            <w:shd w:fill="F5F8F9"/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16"/>
              </w:rPr>
              <w:t>水面与岸滩多目标检测输出形态</w:t>
            </w:r>
          </w:p>
        </w:tc>
      </w:tr>
    </w:tbl>
    <w:p>
      <w:pPr>
        <w:spacing w:after="0"/>
      </w:pP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5"/>
        <w:gridCol w:w="9825"/>
      </w:tblGrid>
      <w:tr>
        <w:trPr>
          <w:trHeight w:val="567" w:hRule="atLeast"/>
        </w:trPr>
        <w:tc>
          <w:tcPr>
            <w:tcW w:type="dxa" w:w="125"/>
            <w:shd w:fill="0C7C86"/>
            <w:tcMar>
              <w:top w:w="0" w:type="dxa"/>
              <w:bottom w:w="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8313B"/>
                <w:sz w:val="4"/>
              </w:rPr>
            </w:r>
          </w:p>
        </w:tc>
        <w:tc>
          <w:tcPr>
            <w:tcW w:type="dxa" w:w="9825"/>
            <w:shd w:fill="EAF3F7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0C7C86"/>
                <w:sz w:val="19"/>
              </w:rPr>
              <w:t xml:space="preserve">最终判断  </w:t>
            </w:r>
            <w:r>
              <w:rPr>
                <w:rFonts w:ascii="Microsoft YaHei" w:hAnsi="Microsoft YaHei"/>
                <w:color w:val="18313B"/>
                <w:sz w:val="19"/>
              </w:rPr>
              <w:t>Oceanus 不是把多个热门技术拼成一个页面，而是用一套治理契约把感知、决策、执行与核算真正接上。当前最重要的下一步，是在一个真实点位完成可重复、可审计、可核算的闭环。</w:t>
            </w:r>
          </w:p>
        </w:tc>
      </w:tr>
    </w:tbl>
    <w:p>
      <w:pPr>
        <w:spacing w:after="0"/>
      </w:pPr>
    </w:p>
    <w:p>
      <w:pPr>
        <w:spacing w:after="100" w:line="341" w:lineRule="auto"/>
      </w:pPr>
      <w:r>
        <w:rPr>
          <w:rFonts w:ascii="Microsoft YaHei" w:hAnsi="Microsoft YaHei" w:eastAsia="Microsoft YaHei"/>
          <w:color w:val="075D66"/>
          <w:sz w:val="18"/>
        </w:rPr>
        <w:t>作品关键词</w:t>
      </w:r>
    </w:p>
    <w:tbl>
      <w:tblPr>
        <w:tblW w:type="dxa" w:w="995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1990"/>
            <w:shd w:fill="F5F8F9"/>
            <w:tcBorders>
              <w:top w:val="single" w:sz="14" w:space="0" w:color="0C7C8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C7C86"/>
                <w:sz w:val="17"/>
              </w:rPr>
              <w:t>可审计</w:t>
            </w:r>
          </w:p>
        </w:tc>
        <w:tc>
          <w:tcPr>
            <w:tcW w:type="dxa" w:w="1990"/>
            <w:shd w:fill="F5F8F9"/>
            <w:tcBorders>
              <w:top w:val="single" w:sz="14" w:space="0" w:color="D87A1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D87A16"/>
                <w:sz w:val="17"/>
              </w:rPr>
              <w:t>人在回路</w:t>
            </w:r>
          </w:p>
        </w:tc>
        <w:tc>
          <w:tcPr>
            <w:tcW w:type="dxa" w:w="1990"/>
            <w:shd w:fill="F5F8F9"/>
            <w:tcBorders>
              <w:top w:val="single" w:sz="14" w:space="0" w:color="1D7B63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D7B63"/>
                <w:sz w:val="17"/>
              </w:rPr>
              <w:t>证据优先</w:t>
            </w:r>
          </w:p>
        </w:tc>
        <w:tc>
          <w:tcPr>
            <w:tcW w:type="dxa" w:w="1990"/>
            <w:shd w:fill="F5F8F9"/>
            <w:tcBorders>
              <w:top w:val="single" w:sz="14" w:space="0" w:color="6D45B8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6D45B8"/>
                <w:sz w:val="17"/>
              </w:rPr>
              <w:t>软硬解耦</w:t>
            </w:r>
          </w:p>
        </w:tc>
        <w:tc>
          <w:tcPr>
            <w:tcW w:type="dxa" w:w="1990"/>
            <w:shd w:fill="F5F8F9"/>
            <w:tcBorders>
              <w:top w:val="single" w:sz="14" w:space="0" w:color="075D66"/>
            </w:tcBorders>
            <w:tcMar>
              <w:top w:w="110" w:type="dxa"/>
              <w:bottom w:w="11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75D66"/>
                <w:sz w:val="17"/>
              </w:rPr>
              <w:t>可复制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Aptos" w:hAnsi="Aptos"/>
          <w:b/>
          <w:color w:val="103B4A"/>
          <w:sz w:val="34"/>
        </w:rPr>
        <w:t>探海灵眸 Oceanus</w:t>
      </w:r>
    </w:p>
    <w:p>
      <w:pPr>
        <w:jc w:val="center"/>
      </w:pPr>
      <w:r>
        <w:rPr>
          <w:rFonts w:ascii="Microsoft YaHei" w:hAnsi="Microsoft YaHei"/>
          <w:color w:val="5B7079"/>
          <w:sz w:val="20"/>
        </w:rPr>
        <w:t>看得见 · 想得清 · 管得住 · 查得到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992" w:right="964" w:bottom="879" w:left="964" w:header="369" w:footer="369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979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326"/>
      <w:gridCol w:w="3326"/>
      <w:gridCol w:w="3326"/>
    </w:tblGrid>
    <w:tr>
      <w:trPr>
        <w:trHeight w:val="238" w:hRule="atLeast"/>
      </w:trPr>
      <w:tc>
        <w:tcPr>
          <w:tcW w:type="dxa" w:w="3326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r/>
        </w:p>
      </w:tc>
      <w:tc>
        <w:tcPr>
          <w:tcW w:type="dxa" w:w="3326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before="0" w:after="0"/>
            <w:jc w:val="center"/>
          </w:pPr>
          <w:r/>
          <w:r>
            <w:rPr>
              <w:rFonts w:ascii="Microsoft YaHei" w:hAnsi="Microsoft YaHei" w:eastAsia="Microsoft YaHei"/>
              <w:color w:val="5B7079"/>
              <w:sz w:val="17"/>
            </w:rPr>
            <w:t>2026 年海峡大学生人工智能创意大赛</w:t>
          </w:r>
        </w:p>
      </w:tc>
      <w:tc>
        <w:tcPr>
          <w:tcW w:type="dxa" w:w="3326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before="0" w:after="0"/>
            <w:jc w:val="right"/>
          </w:pPr>
          <w:r/>
          <w:r>
            <w:rPr>
              <w:rFonts w:ascii="Microsoft YaHei" w:hAnsi="Microsoft YaHei"/>
              <w:color w:val="5B7079"/>
              <w:sz w:val="17"/>
            </w:rPr>
            <w:t xml:space="preserve">第 </w:t>
            <w:fldChar w:fldCharType="begin"/>
            <w:instrText xml:space="preserve"> PAGE </w:instrText>
            <w:fldChar w:fldCharType="end"/>
          </w:r>
          <w:r>
            <w:rPr>
              <w:rFonts w:ascii="Microsoft YaHei" w:hAnsi="Microsoft YaHei"/>
              <w:color w:val="5B7079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78" w:val="right"/>
      </w:tabs>
      <w:pBdr>
        <w:bottom w:val="single" w:sz="5" w:space="4" w:color="D8E3E7"/>
      </w:pBdr>
    </w:pPr>
    <w:r/>
    <w:r>
      <w:rPr>
        <w:rFonts w:ascii="Microsoft YaHei" w:hAnsi="Microsoft YaHei"/>
        <w:b/>
        <w:color w:val="103B4A"/>
        <w:sz w:val="17"/>
      </w:rPr>
      <w:t>探海灵眸 Oceanus</w:t>
    </w:r>
    <w:r>
      <w:tab/>
      <w:tab/>
    </w:r>
    <w:r>
      <w:rPr>
        <w:rFonts w:ascii="Microsoft YaHei" w:hAnsi="Microsoft YaHei"/>
        <w:color w:val="5B7079"/>
        <w:sz w:val="17"/>
      </w:rPr>
      <w:t>系统设计文档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Microsoft YaHei" w:hAnsi="Microsoft YaHei" w:eastAsia="Microsoft YaHei"/>
      <w:color w:val="1831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3B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3B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03B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Oceanus - System Design Document</dc:title>
  <dc:subject>2026 Strait University Student AI Creativity Competition Entry</dc:subject>
  <dc:creator/>
  <cp:keywords>Oceanus, Auditable AI Agent, Marine Litter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