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rFonts w:ascii="Microsoft YaHei" w:hAnsi="Microsoft YaHei" w:eastAsia="Microsoft YaHei"/>
          <w:b w:val="0"/>
          <w:color w:val="1F2328"/>
          <w:sz w:val="21"/>
        </w:rPr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6E99"/>
          <w:sz w:val="28"/>
        </w:rPr>
        <w:t>2026 年海峡大学生人工智能创意大赛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b/>
          <w:color w:val="1F2328"/>
          <w:sz w:val="32"/>
        </w:rPr>
        <w:t>参赛作品技术文档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1F2328"/>
          <w:sz w:val="64"/>
        </w:rPr>
        <w:t>探海灵眸 Oceanus</w:t>
      </w:r>
    </w:p>
    <w:p>
      <w:pPr>
        <w:spacing w:after="1200"/>
        <w:jc w:val="center"/>
      </w:pPr>
      <w:r>
        <w:rPr>
          <w:rFonts w:ascii="Microsoft YaHei" w:hAnsi="Microsoft YaHei" w:eastAsia="Microsoft YaHei"/>
          <w:b w:val="0"/>
          <w:color w:val="57606A"/>
          <w:sz w:val="32"/>
        </w:rPr>
        <w:t>面向养殖区海漂垃圾的可审计治理智能体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 w:val="0"/>
          <w:color w:val="0B6E99"/>
          <w:sz w:val="24"/>
        </w:rPr>
        <w:t>系统架构 · 模块划分 · 接口定义 · 数据结构 · 部署运行 · 验证方式</w:t>
      </w:r>
    </w:p>
    <w:p>
      <w:pPr>
        <w:spacing w:after="2400"/>
        <w:jc w:val="center"/>
      </w:pPr>
      <w:r>
        <w:rPr>
          <w:rFonts w:ascii="Microsoft YaHei" w:hAnsi="Microsoft YaHei" w:eastAsia="Microsoft YaHei"/>
          <w:b w:val="0"/>
          <w:color w:val="57606A"/>
          <w:sz w:val="20"/>
        </w:rPr>
        <w:t>版本：v1.0 ｜ 文档类型：技术设计文档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57606A"/>
          <w:sz w:val="18"/>
        </w:rPr>
        <w:t>本文档不包含任何参赛选手身份信息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1. 架构总览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2. 模块划分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3. 接口定义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4. 数据结构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5. 智能体工具契约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6. 感知层设计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7. 部署与运行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8. 验证方式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9. 源码结构与阅读指引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F2328"/>
          <w:sz w:val="22"/>
        </w:rPr>
        <w:t>10. 已知限制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1. 架构总览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1.1 分层结构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系统采用五层闭环架构，每一层职责单一，向下依赖，失败姿态明确。上层可依赖下层，下层不得反向依赖上层。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8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lay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06A"/>
          <w:sz w:val="18"/>
        </w:rPr>
        <w:t>图 1-1 探海灵眸 Oceanus 五层闭环架构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各层职责：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层级</w:t>
            </w:r>
          </w:p>
        </w:tc>
        <w:tc>
          <w:tcPr>
            <w:tcW w:type="dxa" w:w="850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名称</w:t>
            </w:r>
          </w:p>
        </w:tc>
        <w:tc>
          <w:tcPr>
            <w:tcW w:type="dxa" w:w="255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核心职责</w:t>
            </w:r>
          </w:p>
        </w:tc>
        <w:tc>
          <w:tcPr>
            <w:tcW w:type="dxa" w:w="2835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关键组件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L5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展现层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业务控制台与可视化大屏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Vue 3 + ECharts + 天地图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L4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接入层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API 路由、鉴权、Schema 校验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FastAPI + Pydantic + JWT + RBAC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L3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智能层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治理智能体内核与可选模型适配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Run/Step/Tool/Policy/Approval/Replay/Eval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L2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业务层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事件接入、时序验证、空间派单、任务状态机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PostgreSQL + PostGIS + Redis Streams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L1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感知层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独立推理服务（HTTP）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OpenCV 检测器 + ONNX Runtime 多 provider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L0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基础设施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数据持久化与消息总线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PostgreSQL 16 + Redis 7 + EMQX 5 + MinIO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328"/>
        </w:rPr>
        <w:t>1.2 关键设计原则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原则</w:t>
            </w:r>
          </w:p>
        </w:tc>
        <w:tc>
          <w:tcPr>
            <w:tcW w:type="dxa" w:w="5386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依赖单向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上层可依赖下层，下层不得反向依赖上层。推理服务独立进程，不感知平台业务。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失败姿态明确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每个外部依赖都有降级路径，且降级状态对外可见，不静默失败。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契约先行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所有跨模块接口以 Schema 冻结，消费方不得依赖生产方的内部结构。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证据内建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每次关键决策在产生时即写入可审计记录，而非事后补记。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328"/>
        </w:rPr>
        <w:t>1.3 端到端数据流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从感知到核算的完整数据流如下，每一次流转都留下可追溯的痕迹。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1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06A"/>
          <w:sz w:val="18"/>
        </w:rPr>
        <w:t>图 1-2 端到端数据流：从感知到核算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2. 模块划分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系统按职责划分为 13 个核心模块，模块间通过明确定义的接口通信。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20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模块</w:t>
            </w:r>
          </w:p>
        </w:tc>
        <w:tc>
          <w:tcPr>
            <w:tcW w:type="dxa" w:w="198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目录</w:t>
            </w:r>
          </w:p>
        </w:tc>
        <w:tc>
          <w:tcPr>
            <w:tcW w:type="dxa" w:w="2268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职责</w:t>
            </w:r>
          </w:p>
        </w:tc>
        <w:tc>
          <w:tcPr>
            <w:tcW w:type="dxa" w:w="153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对外依赖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事件接入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backend/app/api/v1/events.py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设备事件接收、Schema 校验、幂等去重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PostgreSQL、Redis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时序验证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backend/app/services/detection/temporal.py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连续命中计数、目标跟踪、冷却窗口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内存状态 / Redis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空间派单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backend/app/services/dispatch/spatial.py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KNN 就近派单、电量/仓容/在线状态加权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PostGIS、设备表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任务状态机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backend/app/services/task/state_machine.py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状态迁移守卫、非法迁移拒绝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PostgreSQL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智能体内核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backend/app/services/agents/runtime.py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Run 生命周期、Planner、Policy、Approval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工具注册表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工具执行器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backend/app/services/agents/tools/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受控工具调用、超时、幂等、审计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业务模块 API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模型适配器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backend/app/services/agents/model_adapter.py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OpenAI 兼容协议客户端，回落策略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外部模型服务（可选）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MQTT 网关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backend/app/services/mqtt/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任务下发、ACK、进度、遥测、换车重派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EMQX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证据归档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backend/app/services/evidence/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证据帧与影像归档、关联校验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MinIO、PostgreSQL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报表聚合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backend/app/services/report/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日报/月报、单位成本、热力图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PostgreSQL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推理服务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backend/app/services/ai/server.py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/infer/detect、/infer/health、/infer/reload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ONNX Runtime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检测器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ml/detectors/opencv_detector.py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背景建模、颜色/形状规则、ROI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NumPy、OpenCV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模型导出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ml/scripts/export_onnx.py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权重 → ONNX，含 --verify 自检</w:t>
            </w:r>
          </w:p>
        </w:tc>
        <w:tc>
          <w:tcPr>
            <w:tcW w:type="dxa" w:w="153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PyTorch、onnx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328"/>
        </w:rPr>
        <w:t>2.1 模块间调用约束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模块间调用遵循以下约束，违反约束的调用在代码审查阶段即被拒绝：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事件接入 ──→ 时序验证 ──→ 事件总线(Redis Stream) ──→ 派单/智能体</w:t>
        <w:br/>
        <w:t xml:space="preserve">                                                      │</w:t>
        <w:br/>
        <w:t xml:space="preserve">                                    ┌─────────────────┴──────────┐</w:t>
        <w:br/>
        <w:t xml:space="preserve">                                    ▼                            ▼</w:t>
        <w:br/>
        <w:t xml:space="preserve">                                 任务状态机                  智能体内核</w:t>
        <w:br/>
        <w:t xml:space="preserve">                                    │                            │</w:t>
        <w:br/>
        <w:t xml:space="preserve">                                    └────── MQTT 网关 ───────────┘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  执行端设备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证据归档 ──→ 报表聚合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禁止事项：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执行端设备直接写数据库；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感知层直接触发派单（必须经过时序验证）；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报表层反向修改业务数据。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3. 接口定义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3.1 事件接入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POST /api/v1/events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请求 Schema：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字段</w:t>
            </w:r>
          </w:p>
        </w:tc>
        <w:tc>
          <w:tcPr>
            <w:tcW w:type="dxa" w:w="850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类型</w:t>
            </w:r>
          </w:p>
        </w:tc>
        <w:tc>
          <w:tcPr>
            <w:tcW w:type="dxa" w:w="113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约束</w:t>
            </w:r>
          </w:p>
        </w:tc>
        <w:tc>
          <w:tcPr>
            <w:tcW w:type="dxa" w:w="3685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device_id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string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必填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设备唯一标识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seq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必填，≥0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设备侧单调递增序号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event_id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string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可选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上游事件 ID，与 seq 构成双重判重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category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enum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必填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foam / plastic / fishing_gear / other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confidence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float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必填，0~1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检测置信度（伪置信度，见 §6.2）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bbox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object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必填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{x, y, w, h}，像素坐标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location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object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可选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{lat, lon}，缺省时不参与空间派单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captured_at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datetime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必填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采集时间（ISO 8601）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frame_url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string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可选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证据帧地址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幂等规则：event_id 存在时以其为唯一键；否则以 (device_id, seq) 为唯一键。重复提交返回 200 且标记 deduplicated: true，不报错——设备重传是正常现象。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响应：{event_id, status: "accepted"|"deduplicated", next_hint}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3.2 智能体运行时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6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方法</w:t>
            </w:r>
          </w:p>
        </w:tc>
        <w:tc>
          <w:tcPr>
            <w:tcW w:type="dxa" w:w="255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3685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/api/v1/agents/runtime/status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运行时模式（规则/模型）、工具数、活跃 Run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/api/v1/agents/runs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运行列表，支持分页与状态过滤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/api/v1/agents/runs/{run_id}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运行详情，含终止原因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/api/v1/agents/runs/{run_id}/steps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步骤与工具调用轨迹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/api/v1/agents/runs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手动触发一次治理 Run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/api/v1/agents/runs/{run_id}/cancel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取消活跃 Run（需二次确认）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/api/v1/agents/tools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工具注册表：名称、版本、权限、风险级别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/api/v1/agents/approvals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审批列表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/api/v1/agents/approvals/{approval_id}/decide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审批决策（写权限）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/api/v1/agents/evals/latest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最近一次固定评测结果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约束：GET /agents 类接口只返回真实定义与真实运行状态，运行状态由 Runtime 与持久化记录计算，不得写死在字典中。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3.3 推理服务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6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方法</w:t>
            </w:r>
          </w:p>
        </w:tc>
        <w:tc>
          <w:tcPr>
            <w:tcW w:type="dxa" w:w="170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路径</w:t>
            </w:r>
          </w:p>
        </w:tc>
        <w:tc>
          <w:tcPr>
            <w:tcW w:type="dxa" w:w="4535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/infer/detect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单帧检测，输入图像，输出检测框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/infer/health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返回实际选中的 provider、模型版本、加载状态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/infer/reload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热加载模型权重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/infer/health 响应示例：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{</w:t>
        <w:br/>
        <w:t xml:space="preserve">  "status": "ready",</w:t>
        <w:br/>
        <w:t xml:space="preserve">  "mode": "stub",</w:t>
        <w:br/>
        <w:t xml:space="preserve">  "provider": "CPUExecutionProvider",</w:t>
        <w:br/>
        <w:t xml:space="preserve">  "available_providers": ["TensorrtExecutionProvider", "CUDAExecutionProvider", "CPUExecutionProvider"],</w:t>
        <w:br/>
        <w:t xml:space="preserve">  "model_version": "...",</w:t>
        <w:br/>
        <w:t xml:space="preserve">  "degraded": true,</w:t>
        <w:br/>
        <w:t xml:space="preserve">  "degraded_reason": "model file not found"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降级语义：mode=stub 表示模型未就绪，服务仍可响应但结果不可用于业务判定；调用方必须检查该字段。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3.4 MQTT 主题契约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主题方向</w:t>
            </w:r>
          </w:p>
        </w:tc>
        <w:tc>
          <w:tcPr>
            <w:tcW w:type="dxa" w:w="198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主题</w:t>
            </w:r>
          </w:p>
        </w:tc>
        <w:tc>
          <w:tcPr>
            <w:tcW w:type="dxa" w:w="3118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载荷要点</w:t>
            </w:r>
          </w:p>
        </w:tc>
        <w:tc>
          <w:tcPr>
            <w:tcW w:type="dxa" w:w="45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QoS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下行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seasight/v1/task/assign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task_id、目标经纬度、优先级、截止时间</w:t>
            </w:r>
          </w:p>
        </w:tc>
        <w:tc>
          <w:tcPr>
            <w:tcW w:type="dxa" w:w="45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下行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seasight/v1/task/cancel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task_id、原因</w:t>
            </w:r>
          </w:p>
        </w:tc>
        <w:tc>
          <w:tcPr>
            <w:tcW w:type="dxa" w:w="45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上行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seasight/v1/task/ack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task_id、设备 ID、接受/拒绝、拒绝原因</w:t>
            </w:r>
          </w:p>
        </w:tc>
        <w:tc>
          <w:tcPr>
            <w:tcW w:type="dxa" w:w="45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上行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seasight/v1/task/progress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task_id、阶段、百分比</w:t>
            </w:r>
          </w:p>
        </w:tc>
        <w:tc>
          <w:tcPr>
            <w:tcW w:type="dxa" w:w="45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0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上行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seasight/v1/telemetry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位置、电量、航速、仓容、故障码</w:t>
            </w:r>
          </w:p>
        </w:tc>
        <w:tc>
          <w:tcPr>
            <w:tcW w:type="dxa" w:w="45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0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上行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seasight/v1/evidence/upload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task_id、前后影像、清理重量、复核结果</w:t>
            </w:r>
          </w:p>
        </w:tc>
        <w:tc>
          <w:tcPr>
            <w:tcW w:type="dxa" w:w="45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1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QoS 约定：任务下发与 ACK 使用 QoS 1；进度与遥测使用 QoS 0（允许丢失）；证据上传使用 QoS 1 并校验完整性。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4. 数据结构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4.1 核心数据表关系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06A"/>
          <w:sz w:val="18"/>
        </w:rPr>
        <w:t>图 4-1 核心数据表关系图（PostgreSQL + PostGIS）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4.2 核心业务表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事件表（t_event）：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t_event (</w:t>
        <w:br/>
        <w:t xml:space="preserve">  id              BIGSERIAL PRIMARY KEY,</w:t>
        <w:br/>
        <w:t xml:space="preserve">  event_id        TEXT UNIQUE,               -- 上游 ID，双重判重之一</w:t>
        <w:br/>
        <w:t xml:space="preserve">  device_id       TEXT NOT NULL,</w:t>
        <w:br/>
        <w:t xml:space="preserve">  seq             BIGINT NOT NULL,</w:t>
        <w:br/>
        <w:t xml:space="preserve">  category        TEXT NOT NULL,             -- foam/plastic/fishing_gear/other</w:t>
        <w:br/>
        <w:t xml:space="preserve">  confidence      FLOAT NOT NULL,</w:t>
        <w:br/>
        <w:t xml:space="preserve">  bbox            JSONB NOT NULL,</w:t>
        <w:br/>
        <w:t xml:space="preserve">  location        geometry(Point, 4326),     -- PostGIS，可空</w:t>
        <w:br/>
        <w:t xml:space="preserve">  frame_url       TEXT,</w:t>
        <w:br/>
        <w:t xml:space="preserve">  captured_at     TIMESTAMPTZ NOT NULL,</w:t>
        <w:br/>
        <w:t xml:space="preserve">  temporal_state  TEXT NOT NULL,             -- candidate/confirmed/suppressed</w:t>
        <w:br/>
        <w:t xml:space="preserve">  created_at      TIMESTAMPTZ NOT NULL,</w:t>
        <w:br/>
        <w:t xml:space="preserve">  UNIQUE (device_id, seq)</w:t>
        <w:br/>
        <w:t>);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任务表（t_task）：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t_task (</w:t>
        <w:br/>
        <w:t xml:space="preserve">  id              BIGSERIAL PRIMARY KEY,</w:t>
        <w:br/>
        <w:t xml:space="preserve">  task_id         TEXT UNIQUE,</w:t>
        <w:br/>
        <w:t xml:space="preserve">  event_id        TEXT NOT NULL,</w:t>
        <w:br/>
        <w:t xml:space="preserve">  assignee_id     TEXT,                       -- 设备 ID</w:t>
        <w:br/>
        <w:t xml:space="preserve">  priority        INT NOT NULL,</w:t>
        <w:br/>
        <w:t xml:space="preserve">  status          TEXT NOT NULL,              -- pending/assigned/en_route/working/done/failed/cancelled</w:t>
        <w:br/>
        <w:t xml:space="preserve">  target_point    geometry(Point, 4326),</w:t>
        <w:br/>
        <w:t xml:space="preserve">  dispatch_score  FLOAT,                      -- 派单打分</w:t>
        <w:br/>
        <w:t xml:space="preserve">  reject_reason   TEXT,                       -- 未被选中的原因</w:t>
        <w:br/>
        <w:t xml:space="preserve">  created_at      TIMESTAMPTZ NOT NULL,</w:t>
        <w:br/>
        <w:t xml:space="preserve">  updated_at      TIMESTAMPTZ NOT NULL</w:t>
        <w:br/>
        <w:t>);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证据表（t_evidence）：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t_evidence (</w:t>
        <w:br/>
        <w:t xml:space="preserve">  id              BIGSERIAL PRIMARY KEY,</w:t>
        <w:br/>
        <w:t xml:space="preserve">  task_id         TEXT NOT NULL,</w:t>
        <w:br/>
        <w:t xml:space="preserve">  kind            TEXT NOT NULL,             -- frame_before/frame_after/weight/review</w:t>
        <w:br/>
        <w:t xml:space="preserve">  object_key      TEXT NOT NULL,              -- MinIO 对象键</w:t>
        <w:br/>
        <w:t xml:space="preserve">  weight_kg       FLOAT,                      -- 清理重量</w:t>
        <w:br/>
        <w:t xml:space="preserve">  reviewed_by     TEXT,</w:t>
        <w:br/>
        <w:t xml:space="preserve">  created_at      TIMESTAMPTZ NOT NULL</w:t>
        <w:br/>
        <w:t>);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4.3 智能体表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运行表（t_agent_run）：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t_agent_run (</w:t>
        <w:br/>
        <w:t xml:space="preserve">  run_id              TEXT PRIMARY KEY,</w:t>
        <w:br/>
        <w:t xml:space="preserve">  trigger_type        TEXT NOT NULL,          -- event/manual/schedule</w:t>
        <w:br/>
        <w:t xml:space="preserve">  objective           TEXT NOT NULL,</w:t>
        <w:br/>
        <w:t xml:space="preserve">  status              TEXT NOT NULL,          -- created/planning/waiting_policy/</w:t>
        <w:br/>
        <w:t xml:space="preserve">                                              -- waiting_approval/executing/observing/</w:t>
        <w:br/>
        <w:t xml:space="preserve">                                              -- verifying/succeeded/failed/cancelled/expired</w:t>
        <w:br/>
        <w:t xml:space="preserve">  policy_version      TEXT NOT NULL,</w:t>
        <w:br/>
        <w:t xml:space="preserve">  started_at          TIMESTAMPTZ NOT NULL,</w:t>
        <w:br/>
        <w:t xml:space="preserve">  finished_at         TIMESTAMPTZ,</w:t>
        <w:br/>
        <w:t xml:space="preserve">  termination_reason  TEXT,                   -- 结构化失败原因</w:t>
        <w:br/>
        <w:t xml:space="preserve">  trace_id            TEXT</w:t>
        <w:br/>
        <w:t>);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步骤表（t_agent_step）：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t_agent_step (</w:t>
        <w:br/>
        <w:t xml:space="preserve">  step_id         TEXT PRIMARY KEY,</w:t>
        <w:br/>
        <w:t xml:space="preserve">  run_id          TEXT NOT NULL REFERENCES t_agent_run(run_id),</w:t>
        <w:br/>
        <w:t xml:space="preserve">  step_no         INT NOT NULL,               -- 重规划产生新 step_no，不覆盖历史</w:t>
        <w:br/>
        <w:t xml:space="preserve">  step_type       TEXT NOT NULL,              -- plan/tool/observe/verify/replan/terminate</w:t>
        <w:br/>
        <w:t xml:space="preserve">  decision_summary TEXT,</w:t>
        <w:br/>
        <w:t xml:space="preserve">  tool_name       TEXT,</w:t>
        <w:br/>
        <w:t xml:space="preserve">  tool_version    TEXT,</w:t>
        <w:br/>
        <w:t xml:space="preserve">  input_hash      TEXT,</w:t>
        <w:br/>
        <w:t xml:space="preserve">  output_hash     TEXT,</w:t>
        <w:br/>
        <w:t xml:space="preserve">  status          TEXT NOT NULL,</w:t>
        <w:br/>
        <w:t xml:space="preserve">  latency_ms      INT,</w:t>
        <w:br/>
        <w:t xml:space="preserve">  error_code      TEXT,</w:t>
        <w:br/>
        <w:t xml:space="preserve">  created_at      TIMESTAMPTZ NOT NULL,</w:t>
        <w:br/>
        <w:t xml:space="preserve">  UNIQUE (run_id, step_no)</w:t>
        <w:br/>
        <w:t>);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关键约束：t_agent_step 的 UNIQUE(run_id, step_no) 配合「重规划产生新 step」的规则，保证历史步骤永不被覆盖。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4.4 数据完整性约束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约束</w:t>
            </w:r>
          </w:p>
        </w:tc>
        <w:tc>
          <w:tcPr>
            <w:tcW w:type="dxa" w:w="2268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实现</w:t>
            </w:r>
          </w:p>
        </w:tc>
        <w:tc>
          <w:tcPr>
            <w:tcW w:type="dxa" w:w="255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原因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coverage_area 无来源时为 NULL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列可空，报表层不填 0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凭空的 0 会被误读为「无覆盖/无清理」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清理重量必须来自证据表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报表按 t_evidence.weight_kg 聚合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禁止用估算值冒充实测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已完成任务必须有关联证据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闭环率指标按此计算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无证据的「完成」不计入闭环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事件时间与创建时间分离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captured_at / created_at 双字段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便于识别延迟上报与时钟漂移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328"/>
        </w:rPr>
        <w:t>4.5 记忆类型与保留策略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20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类型</w:t>
            </w:r>
          </w:p>
        </w:tc>
        <w:tc>
          <w:tcPr>
            <w:tcW w:type="dxa" w:w="198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内容</w:t>
            </w:r>
          </w:p>
        </w:tc>
        <w:tc>
          <w:tcPr>
            <w:tcW w:type="dxa" w:w="141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作用</w:t>
            </w:r>
          </w:p>
        </w:tc>
        <w:tc>
          <w:tcPr>
            <w:tcW w:type="dxa" w:w="238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保留策略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工作记忆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当前 Run 的计划、步骤、观察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完成本次任务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随 Run 保留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情景记忆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历史类似事件与处理结果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相似案例检索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按业务保留期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语义记忆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点位、潮汐、类别、设备特征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辅助规划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版本化管理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策略记忆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规则、阈值、人工纠正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防止重复错误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必须审批后生效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评测记忆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固定场景、期望轨迹、失败样本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回归测试</w:t>
            </w:r>
          </w:p>
        </w:tc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永久版本化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记忆写入必须区分 fact / inference / human_confirmed，禁止把模型推断写成事实。</w:t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5. 智能体工具契约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每个工具必须声明以下字段，缺一不得注册：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name, version, description,</w:t>
        <w:br/>
        <w:t>input_schema, output_schema,</w:t>
        <w:br/>
        <w:t>permission (read | write | destructive),</w:t>
        <w:br/>
        <w:t>risk_level (low | medium | high),</w:t>
        <w:br/>
        <w:t>timeout_ms, idempotency_key,</w:t>
        <w:br/>
        <w:t>audit_event, error_codes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5.1 工具注册表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工具</w:t>
            </w:r>
          </w:p>
        </w:tc>
        <w:tc>
          <w:tcPr>
            <w:tcW w:type="dxa" w:w="56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权限</w:t>
            </w:r>
          </w:p>
        </w:tc>
        <w:tc>
          <w:tcPr>
            <w:tcW w:type="dxa" w:w="56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风险</w:t>
            </w:r>
          </w:p>
        </w:tc>
        <w:tc>
          <w:tcPr>
            <w:tcW w:type="dxa" w:w="124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幂等键</w:t>
            </w:r>
          </w:p>
        </w:tc>
        <w:tc>
          <w:tcPr>
            <w:tcW w:type="dxa" w:w="2835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关键错误码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event.get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read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low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event_not_found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device.query_available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read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low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device_unreachable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dispatch.plan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read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low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no_candidate_available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task.create_or_merge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write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medium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event_id+window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task_conflict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task.transition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write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medium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task_id+to_status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illegal_transition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mqtt.send_task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write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high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task_id+attempt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mqtt_publish_failed, ack_timeout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mission.observe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read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low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mission_not_found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human.request_approval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write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medium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run_id+action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approval_rejected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metric.query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read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low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metric_unavailable</w:t>
            </w:r>
          </w:p>
        </w:tc>
      </w:tr>
      <w:tr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report.generate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write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low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window+type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data_incomplete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4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risk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06A"/>
          <w:sz w:val="18"/>
        </w:rPr>
        <w:t>图 5-1 智能体工具契约矩阵：权限 × 风险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5.2 必须人工审批的场景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超出日常策略的距离、成本或设备数量；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低置信度事件触发高成本任务；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跨乡镇辖区调度；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设备故障状态下的强制下发；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批量任务、敏感数据导出、阈值修改。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5.3 可自动执行但必须留证的场景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普通、低风险、同辖区、满足全部硬约束的派单可自动执行，但必须产生证据：触发来源、策略版本、候选方案与淘汰原因、工具调用结果、最终动作、结果验证与终止原因。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6. 感知层设计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6.1 检测流程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图像输入</w:t>
        <w:br/>
        <w:t xml:space="preserve">  → ROI 约束（只处理水面区域）</w:t>
        <w:br/>
        <w:t xml:space="preserve">  → 背景建模（帧差/统计背景）</w:t>
        <w:br/>
        <w:t xml:space="preserve">  → 双通道提取（白亮通道 / 暗色通道）</w:t>
        <w:br/>
        <w:t xml:space="preserve">  → 形态学开闭运算</w:t>
        <w:br/>
        <w:t xml:space="preserve">  → 轮廓提取与形状过滤</w:t>
        <w:br/>
        <w:t xml:space="preserve">  → 类别规则匹配</w:t>
        <w:br/>
        <w:t xml:space="preserve">  → 输出检测框 + 伪置信度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6.2 伪置信度说明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当前检测器输出的是基于规则匹配程度的伪置信度，由前景面积占比、形状规则匹配项数等启发式计算得出，不是神经网络模型的输出概率。这是「零数据依赖」路线的必然取舍：它可解释、可纯 CPU 运行，但数值不可与训练模型的置信度直接比较。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6.3 时序验证参数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参数</w:t>
            </w:r>
          </w:p>
        </w:tc>
        <w:tc>
          <w:tcPr>
            <w:tcW w:type="dxa" w:w="141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含义</w:t>
            </w:r>
          </w:p>
        </w:tc>
        <w:tc>
          <w:tcPr>
            <w:tcW w:type="dxa" w:w="3969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sample_interval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抽帧间隔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降低无效计算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track_window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目标关联窗口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位置与尺寸的历史匹配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hit_threshold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连续命中次数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达到才升级为可信事件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cooldown_seconds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冷却窗口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同目标不重复生成事件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指标口径：时序链路误报抑制率 = 被时序环节过滤的检测数 ÷ 输入检测总数。合成海面测试下约 76%。该值不是识别精度、召回率或准确率。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94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06A"/>
          <w:sz w:val="18"/>
        </w:rPr>
        <w:t>图 6-1 时序先验误报抑制链路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6.4 推理服务多 provider 探测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启动 → onnxruntime.get_available_providers()</w:t>
        <w:br/>
        <w:t xml:space="preserve">     → 按 [Tensorrt, CUDA, CPU] 顺序取第一个可用项</w:t>
        <w:br/>
        <w:t xml:space="preserve">     → 装配 InferenceSession</w:t>
        <w:br/>
        <w:t xml:space="preserve">     → 实际 provider 写入 /infer/health</w:t>
        <w:br/>
        <w:t xml:space="preserve">     → 加载失败则 mode=stub 并继续启动（不阻断平台）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把加速卡写死会导致换硬件必须改代码；此设计使「换昇腾」变为替换 provider 的配置动作。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6.5 ONNX 导出参数与昇腾工具链对齐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导出参数</w:t>
            </w:r>
          </w:p>
        </w:tc>
        <w:tc>
          <w:tcPr>
            <w:tcW w:type="dxa" w:w="170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取值</w:t>
            </w:r>
          </w:p>
        </w:tc>
        <w:tc>
          <w:tcPr>
            <w:tcW w:type="dxa" w:w="3969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对昇腾 ATC 的意义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dynamic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False（固定 batch=1）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ATC 需要静态输入形状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opset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17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需与 CANN 版本算子集对齐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simplify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True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减少算子种类，降低不支持概率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half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False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半精度交下游处理，避免提前转换的兼容问题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imgsz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640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与推理输入尺寸一致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7. 部署与运行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7.1 服务编排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2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06A"/>
          <w:sz w:val="18"/>
        </w:rPr>
        <w:t>图 7-1 Docker Compose 单机生产形态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# docker-compose.prod.yml 服务清单</w:t>
        <w:br/>
        <w:t>services:</w:t>
        <w:br/>
        <w:t xml:space="preserve">  postgres:   # PostgreSQL 16 + PostGIS</w:t>
        <w:br/>
        <w:t xml:space="preserve">  redis:      # 事件流与缓存</w:t>
        <w:br/>
        <w:t xml:space="preserve">  emqx:       # MQTT Broker（设备接入）</w:t>
        <w:br/>
        <w:t xml:space="preserve">  minio:      # 证据对象存储</w:t>
        <w:br/>
        <w:t xml:space="preserve">  backend:    # FastAPI 主服务</w:t>
        <w:br/>
        <w:t xml:space="preserve">  ai-service: # 推理服务（独立进程）</w:t>
        <w:br/>
        <w:t xml:space="preserve">  frontend:   # 静态资源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7.2 环境变量（节选）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变量</w:t>
            </w:r>
          </w:p>
        </w:tc>
        <w:tc>
          <w:tcPr>
            <w:tcW w:type="dxa" w:w="2268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说明</w:t>
            </w:r>
          </w:p>
        </w:tc>
        <w:tc>
          <w:tcPr>
            <w:tcW w:type="dxa" w:w="198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默认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POSTGRES_HOST/PORT/DB/USER/PASSWORD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数据库连接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REDIS_STREAM_EVENTS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事件流键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stream:events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REDIS_CONSUMER_GROUP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消费组名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dispatch-group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AGENT_PERSISTENT_REPOSITORY_ENABLED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是否启用持久化仓储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false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AGENT_REQUIRE_APPROVAL_FOR_WRITE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写操作是否强制审批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true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AGENT_MODEL_ADAPTER_ENABLED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大模型适配器开关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false（默认关闭）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AGENT_MODEL_BASE_URL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OpenAI 兼容端点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空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AI_INPUT_SIZE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推理输入尺寸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640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DISPATCH_MERGE_RADIUS_METERS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任务合并半径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视场景标定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关键：大模型适配器默认关闭。核心治理闭环不依赖任何外部模型服务。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7.3 本地运行最小步骤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# 1. 基础设施</w:t>
        <w:br/>
        <w:t>docker compose up -d postgres redis emqx minio</w:t>
        <w:br/>
        <w:br/>
        <w:t># 2. 数据库结构</w:t>
        <w:br/>
        <w:t>#    backend/db/init/*.sql 首次启动自动执行</w:t>
        <w:br/>
        <w:br/>
        <w:t># 3. 后端服务</w:t>
        <w:br/>
        <w:t>cd backend &amp;&amp; python run_server.py --host 127.0.0.1 --port 8000</w:t>
        <w:br/>
        <w:br/>
        <w:t># 4. 推理服务（可选，缺失时平台仍可联调）</w:t>
        <w:br/>
        <w:t>cd backend &amp;&amp; python -m app.services.ai.server</w:t>
        <w:br/>
        <w:br/>
        <w:t># 5. 前端</w:t>
        <w:br/>
        <w:t>cd frontend &amp;&amp; npm install &amp;&amp; npm run dev</w:t>
        <w:br/>
        <w:br/>
        <w:t># 6. 回归验证</w:t>
        <w:br/>
        <w:t>python -m pytest -q          # 自动化测试</w:t>
        <w:br/>
        <w:t>python scripts/run_agent_evals.py     # 智能体固定场景评测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7.4 健康检查与降级可见性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依赖</w:t>
            </w:r>
          </w:p>
        </w:tc>
        <w:tc>
          <w:tcPr>
            <w:tcW w:type="dxa" w:w="2835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不可用时行为</w:t>
            </w:r>
          </w:p>
        </w:tc>
        <w:tc>
          <w:tcPr>
            <w:tcW w:type="dxa" w:w="2835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对外可见性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PostgreSQL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拒绝写入，读接口返回错误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5xx + 日志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Redis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事件流积压，任务下发延迟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队列深度指标 + 告警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EMQX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无法下发任务，转入待发队列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MQTT 连接状态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MinIO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证据上传失败，任务不可闭环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证据缺失标记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大模型服务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回落到规则模式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runtime.mode = rule_fallback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推理服务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mode = stub，不产出可用检测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/infer/health 的 degraded 字段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设计原则：除大模型外，任一关键依赖失效都不得让系统假装正常。前端必须显示真实错误与降级状态，禁止展示静态的「在线」「运行中」。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8. 验证方式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验证类型</w:t>
            </w:r>
          </w:p>
        </w:tc>
        <w:tc>
          <w:tcPr>
            <w:tcW w:type="dxa" w:w="1984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方式</w:t>
            </w:r>
          </w:p>
        </w:tc>
        <w:tc>
          <w:tcPr>
            <w:tcW w:type="dxa" w:w="3402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覆盖内容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单元与集成测试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pytest -q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业务逻辑、状态机、幂等、契约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契约漂移检查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契约比对脚本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接口 Schema 与文档一致性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智能体固定评测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run_agent_evals.py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27 场景：成功、无设备、工具超时、策略拒绝、审批拒绝、重复触发、模型不可用、步数上限、轨迹完整性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真实状态集成验收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agent_real_state_acceptance.py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真实 HTTP、鉴权、PostgreSQL、审批、幂等、进程重启只读回放（129 项检查）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故障演练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故障注入脚本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健康降级、ACK 启动恢复、孪生闭环、持久化幂等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前端浏览器回归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浏览器自动化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登录、页面读取、权限、取消确认、关闭与刷新恢复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公开基准评测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evaluate_public_litter.py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SC-FloatWaste 独立测试集 mAP50 0.5135；不代表现场或本设备精度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328"/>
        </w:rPr>
        <w:t>8.1 评测指标诚实说明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27 场景评测中部分指标低于设计目标：recovery_success_rate 33.3%、invalid_loop_rate 7.4%。该结果保留不修饰，原因：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评测集包含预期失败的负向场景，该指标反映「注入故障能否被完整恢复」，不等于正常流程成功率；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团队已完成定位并列为下一迭代优化项；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F2328"/>
          <w:sz w:val="21"/>
        </w:rPr>
        <w:t>• 主动披露弱项并给出定位，比修饰指标更能建立评审信任。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2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06A"/>
          <w:sz w:val="18"/>
        </w:rPr>
        <w:t>图 8-1 27 场景固定评测结果与待优化指标</w:t>
      </w:r>
    </w:p>
    <w:p>
      <w:pPr>
        <w:pStyle w:val="Heading2"/>
      </w:pPr>
      <w:r>
        <w:rPr>
          <w:rFonts w:ascii="Microsoft YaHei" w:hAnsi="Microsoft YaHei" w:eastAsia="Microsoft YaHei"/>
          <w:color w:val="1F2328"/>
        </w:rPr>
        <w:t>8.2 评测环境隔离性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固定评测在无网络、无真实模型、无真实设备条件下运行（network_access=false、model_access=false、device_access=false），使用内存态设备孪生与注入式假模型客户端。因此该评测证明的是内核契约、状态机正确性与故障处理能力，不证明真实业务成功率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9. 源码结构与阅读指引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为便于评审，按「从主流程到细节」的顺序阅读：</w:t>
      </w:r>
    </w:p>
    <w:p>
      <w:pPr>
        <w:spacing w:after="120"/>
        <w:ind w:left="283"/>
        <w:shd w:fill="F6F8FA"/>
      </w:pPr>
      <w:r>
        <w:rPr>
          <w:rFonts w:ascii="Consolas" w:hAnsi="Consolas"/>
          <w:color w:val="1F2328"/>
          <w:sz w:val="18"/>
        </w:rPr>
        <w:t>1. 事件入口      backend/app/api/v1/events.py</w:t>
        <w:br/>
        <w:t>2. 时序验证      backend/app/services/detection/temporal.py</w:t>
        <w:br/>
        <w:t>3. 空间派单      backend/app/services/dispatch/spatial.py</w:t>
        <w:br/>
        <w:t>4. 任务状态机    backend/app/services/task/state_machine.py</w:t>
        <w:br/>
        <w:t>5. 智能体内核    backend/app/services/agents/runtime.py</w:t>
        <w:br/>
        <w:t>6. 工具实现      backend/app/services/agents/tools/</w:t>
        <w:br/>
        <w:t>7. MQTT 网关     backend/app/services/mqtt/</w:t>
        <w:br/>
        <w:t>8. 推理服务      backend/app/services/ai/server.py</w:t>
        <w:br/>
        <w:t>9. 检测算法      ml/detectors/opencv_detector.py</w:t>
        <w:br/>
        <w:t>10. 评测场景     backend/tests/agent_evals/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推荐优先阅读第 5 项（智能体内核）——它是本作品的技术核心，也是最能体现设计思路的模块。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2328"/>
        </w:rPr>
        <w:t>10. 已知限制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1F2328"/>
          <w:sz w:val="21"/>
        </w:rPr>
        <w:t>诚实列出限制比声称完备更有利于长期信任：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限制</w:t>
            </w:r>
          </w:p>
        </w:tc>
        <w:tc>
          <w:tcPr>
            <w:tcW w:type="dxa" w:w="1417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当前状态</w:t>
            </w:r>
          </w:p>
        </w:tc>
        <w:tc>
          <w:tcPr>
            <w:tcW w:type="dxa" w:w="1701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影响</w:t>
            </w:r>
          </w:p>
        </w:tc>
        <w:tc>
          <w:tcPr>
            <w:tcW w:type="dxa" w:w="2268"/>
            <w:shd w:fill="EAEEF2"/>
          </w:tcPr>
          <w:p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下一步工作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现场感知精度未验证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公开基准已评测；连江现场与本设备实测未开展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公开基准结果不能替代现场设备精度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采集本地验证集，按区域、光照与潮汐分层评测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昇腾路径未实测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设计完成，未上真机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国产算力适配无硬件实证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申请昇腾 Atlas 设备实测 ATC 转换与推理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模型未接入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适配器已接线但默认关闭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意图理解与异常解释能力受限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接入开源大模型并评测效果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无真实海域验证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未开展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不能声称现场可用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申请连江县试点海域开展 E3 级验证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无商业验证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无合同/订单/回款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商业模式为测算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寻求县域主管部门试点合作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部分恢复指标偏低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recovery_success_rate 33.3%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故障恢复能力待增强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color w:val="1F2328"/>
                <w:sz w:val="18"/>
              </w:rPr>
              <w:t>定位 Replanner 回环边界，扩充评测集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color w:val="1F2328"/>
          <w:sz w:val="21"/>
        </w:rPr>
        <w:t>每一项限制都对应明确的下一步工作与所需条件，而非含糊的「有待完善」。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