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4CDBF">
      <w:pPr>
        <w:spacing w:before="0" w:after="40"/>
        <w:jc w:val="center"/>
      </w:pPr>
      <w:r>
        <w:rPr>
          <w:rFonts w:ascii="微软雅黑" w:hAnsi="微软雅黑" w:eastAsia="微软雅黑"/>
          <w:b/>
          <w:color w:val="0B3B5C"/>
          <w:sz w:val="32"/>
        </w:rPr>
        <w:t>探海灵眸 · 系统评测与验证佐证</w:t>
      </w:r>
      <w:bookmarkStart w:id="0" w:name="_GoBack"/>
      <w:bookmarkEnd w:id="0"/>
    </w:p>
    <w:p w14:paraId="5702BA75">
      <w:pPr>
        <w:spacing w:before="0" w:after="200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参赛辅助材料 · 覆盖感知检测 / 智能体决策 / 系统集成 / 故障自证 · 原始报告见同目录「原始报告 /」</w:t>
      </w:r>
    </w:p>
    <w:p w14:paraId="326EC771">
      <w:pPr>
        <w:spacing w:before="0" w:after="100"/>
      </w:pPr>
      <w:r>
        <w:rPr>
          <w:rFonts w:ascii="微软雅黑" w:hAnsi="微软雅黑" w:eastAsia="微软雅黑"/>
          <w:b/>
          <w:color w:val="0B3B5C"/>
          <w:sz w:val="24"/>
        </w:rPr>
        <w:t>一、感知检测：第三方公开基准独立评测（2026-10-08）</w:t>
      </w:r>
    </w:p>
    <w:p w14:paraId="2829371D">
      <w:pPr>
        <w:spacing w:before="0" w:after="60"/>
        <w:ind w:left="113"/>
      </w:pPr>
      <w:r>
        <w:rPr>
          <w:rFonts w:ascii="微软雅黑" w:hAnsi="微软雅黑" w:eastAsia="微软雅黑"/>
          <w:b w:val="0"/>
          <w:sz w:val="19"/>
        </w:rPr>
        <w:t>基准数据集：SC-FloatWaste（HuggingFace OliviaWuYJ/sc-floatwaste；Zenodo DOI 10.5281/zenodo.21934286；CC BY 4.0），来源为现场摄像头与视频抽帧，区域覆盖印尼 Citarum 流域 / 澳大利亚 NSW / 塔斯马尼亚 Hobart，时间跨度 2021-10 至 2024-11。</w:t>
      </w:r>
    </w:p>
    <w:p w14:paraId="18D8A3C3">
      <w:pPr>
        <w:spacing w:before="0" w:after="100"/>
        <w:ind w:left="113"/>
      </w:pPr>
      <w:r>
        <w:rPr>
          <w:rFonts w:ascii="微软雅黑" w:hAnsi="微软雅黑" w:eastAsia="微软雅黑"/>
          <w:b w:val="0"/>
          <w:sz w:val="19"/>
        </w:rPr>
        <w:t>测试集：400 张图像 / 1,490 个真值框；按数据集官方划分隔离（test 全部取自官方 val，不参与任何训练与调参）。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2943"/>
        <w:gridCol w:w="1019"/>
        <w:gridCol w:w="907"/>
        <w:gridCol w:w="1133"/>
        <w:gridCol w:w="2489"/>
      </w:tblGrid>
      <w:tr w14:paraId="5300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0B3B5C"/>
          </w:tcPr>
          <w:p w14:paraId="5956C8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检测通道</w:t>
            </w:r>
          </w:p>
        </w:tc>
        <w:tc>
          <w:tcPr>
            <w:tcW w:w="2948" w:type="dxa"/>
            <w:shd w:val="clear" w:color="auto" w:fill="0B3B5C"/>
          </w:tcPr>
          <w:p w14:paraId="1AB5C4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 / 类型</w:t>
            </w:r>
          </w:p>
        </w:tc>
        <w:tc>
          <w:tcPr>
            <w:tcW w:w="1020" w:type="dxa"/>
            <w:shd w:val="clear" w:color="auto" w:fill="0B3B5C"/>
          </w:tcPr>
          <w:p w14:paraId="31E55E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输入尺寸</w:t>
            </w:r>
          </w:p>
        </w:tc>
        <w:tc>
          <w:tcPr>
            <w:tcW w:w="907" w:type="dxa"/>
            <w:shd w:val="clear" w:color="auto" w:fill="0B3B5C"/>
          </w:tcPr>
          <w:p w14:paraId="2A9EA8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mAP50</w:t>
            </w:r>
          </w:p>
        </w:tc>
        <w:tc>
          <w:tcPr>
            <w:tcW w:w="1134" w:type="dxa"/>
            <w:shd w:val="clear" w:color="auto" w:fill="0B3B5C"/>
          </w:tcPr>
          <w:p w14:paraId="33D4AC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mAP50-95</w:t>
            </w:r>
          </w:p>
        </w:tc>
        <w:tc>
          <w:tcPr>
            <w:tcW w:w="2494" w:type="dxa"/>
            <w:shd w:val="clear" w:color="auto" w:fill="0B3B5C"/>
          </w:tcPr>
          <w:p w14:paraId="418AF8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最佳 F1</w:t>
            </w:r>
          </w:p>
        </w:tc>
      </w:tr>
      <w:tr w14:paraId="0E9E2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A7341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监督微调通道</w:t>
            </w:r>
          </w:p>
        </w:tc>
        <w:tc>
          <w:tcPr>
            <w:tcW w:w="2948" w:type="dxa"/>
          </w:tcPr>
          <w:p w14:paraId="1E420F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YOLO11 · 有监督微调</w:t>
            </w:r>
          </w:p>
        </w:tc>
        <w:tc>
          <w:tcPr>
            <w:tcW w:w="1020" w:type="dxa"/>
          </w:tcPr>
          <w:p w14:paraId="75A93C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1280</w:t>
            </w:r>
          </w:p>
        </w:tc>
        <w:tc>
          <w:tcPr>
            <w:tcW w:w="907" w:type="dxa"/>
          </w:tcPr>
          <w:p w14:paraId="52DB2C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0.514</w:t>
            </w:r>
          </w:p>
        </w:tc>
        <w:tc>
          <w:tcPr>
            <w:tcW w:w="1134" w:type="dxa"/>
          </w:tcPr>
          <w:p w14:paraId="092C09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0.344</w:t>
            </w:r>
          </w:p>
        </w:tc>
        <w:tc>
          <w:tcPr>
            <w:tcW w:w="2494" w:type="dxa"/>
          </w:tcPr>
          <w:p w14:paraId="017C6D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0.538（P 0.567 / R 0.511）</w:t>
            </w:r>
          </w:p>
        </w:tc>
      </w:tr>
      <w:tr w14:paraId="7825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368F8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零样本通道</w:t>
            </w:r>
          </w:p>
        </w:tc>
        <w:tc>
          <w:tcPr>
            <w:tcW w:w="2948" w:type="dxa"/>
          </w:tcPr>
          <w:p w14:paraId="196501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YOLO-World · 开放词汇零样本</w:t>
            </w:r>
          </w:p>
        </w:tc>
        <w:tc>
          <w:tcPr>
            <w:tcW w:w="1020" w:type="dxa"/>
          </w:tcPr>
          <w:p w14:paraId="283734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1280</w:t>
            </w:r>
          </w:p>
        </w:tc>
        <w:tc>
          <w:tcPr>
            <w:tcW w:w="907" w:type="dxa"/>
          </w:tcPr>
          <w:p w14:paraId="7BAA6A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0.116</w:t>
            </w:r>
          </w:p>
        </w:tc>
        <w:tc>
          <w:tcPr>
            <w:tcW w:w="1134" w:type="dxa"/>
          </w:tcPr>
          <w:p w14:paraId="2948AB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0.074</w:t>
            </w:r>
          </w:p>
        </w:tc>
        <w:tc>
          <w:tcPr>
            <w:tcW w:w="2494" w:type="dxa"/>
          </w:tcPr>
          <w:p w14:paraId="2368F0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0.242</w:t>
            </w:r>
          </w:p>
        </w:tc>
      </w:tr>
      <w:tr w14:paraId="6917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4AD59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零样本通道</w:t>
            </w:r>
          </w:p>
        </w:tc>
        <w:tc>
          <w:tcPr>
            <w:tcW w:w="2948" w:type="dxa"/>
          </w:tcPr>
          <w:p w14:paraId="18B08F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YOLO-World · 开放词汇零样本</w:t>
            </w:r>
          </w:p>
        </w:tc>
        <w:tc>
          <w:tcPr>
            <w:tcW w:w="1020" w:type="dxa"/>
          </w:tcPr>
          <w:p w14:paraId="169B1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960</w:t>
            </w:r>
          </w:p>
        </w:tc>
        <w:tc>
          <w:tcPr>
            <w:tcW w:w="907" w:type="dxa"/>
          </w:tcPr>
          <w:p w14:paraId="731C88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0.143</w:t>
            </w:r>
          </w:p>
        </w:tc>
        <w:tc>
          <w:tcPr>
            <w:tcW w:w="1134" w:type="dxa"/>
          </w:tcPr>
          <w:p w14:paraId="20C308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0.093</w:t>
            </w:r>
          </w:p>
        </w:tc>
        <w:tc>
          <w:tcPr>
            <w:tcW w:w="2494" w:type="dxa"/>
          </w:tcPr>
          <w:p w14:paraId="147DB4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0.270</w:t>
            </w:r>
          </w:p>
        </w:tc>
      </w:tr>
    </w:tbl>
    <w:p w14:paraId="42620E12">
      <w:pPr>
        <w:spacing w:before="0" w:after="160"/>
        <w:ind w:left="113"/>
      </w:pPr>
      <w:r>
        <w:rPr>
          <w:rFonts w:ascii="微软雅黑" w:hAnsi="微软雅黑" w:eastAsia="微软雅黑"/>
          <w:b w:val="0"/>
          <w:color w:val="555555"/>
          <w:sz w:val="18"/>
        </w:rPr>
        <w:t>口径（照录原报告 claim_boundary）：本结果为第三方公开数据集上的独立测试集精度，非连江海域、非本项目设备实测；只能表述为「在公开漂浮垃圾基准上的独立评测精度」，不得表述为「连江现场验证」「真实海域验证」或「本项目设备实测精度」。</w:t>
      </w:r>
    </w:p>
    <w:p w14:paraId="6D02F73F">
      <w:pPr>
        <w:spacing w:before="0" w:after="100"/>
      </w:pPr>
      <w:r>
        <w:rPr>
          <w:rFonts w:ascii="微软雅黑" w:hAnsi="微软雅黑" w:eastAsia="微软雅黑"/>
          <w:b/>
          <w:color w:val="0B3B5C"/>
          <w:sz w:val="24"/>
        </w:rPr>
        <w:t>二、智能体决策：固定场景评测（证据等级 E1，2026-09-26）</w:t>
      </w:r>
    </w:p>
    <w:p w14:paraId="7BD79BB9">
      <w:pPr>
        <w:spacing w:before="0" w:after="80"/>
        <w:ind w:left="113"/>
      </w:pPr>
      <w:r>
        <w:rPr>
          <w:rFonts w:ascii="微软雅黑" w:hAnsi="微软雅黑" w:eastAsia="微软雅黑"/>
          <w:b w:val="0"/>
          <w:sz w:val="19"/>
        </w:rPr>
        <w:t>27 个固定场景全部达成期望（success_rate 1.0），报告文件：原始报告 / 智能体固定场景评测_v2.json。关键指标：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1019"/>
        <w:gridCol w:w="5883"/>
      </w:tblGrid>
      <w:tr w14:paraId="5918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0B3B5C"/>
          </w:tcPr>
          <w:p w14:paraId="7641FB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1020" w:type="dxa"/>
            <w:shd w:val="clear" w:color="auto" w:fill="0B3B5C"/>
          </w:tcPr>
          <w:p w14:paraId="3C7C78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w="5896" w:type="dxa"/>
            <w:shd w:val="clear" w:color="auto" w:fill="0B3B5C"/>
          </w:tcPr>
          <w:p w14:paraId="5A84AF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3FE1E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ECCF7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success_rate</w:t>
            </w:r>
          </w:p>
        </w:tc>
        <w:tc>
          <w:tcPr>
            <w:tcW w:w="1020" w:type="dxa"/>
          </w:tcPr>
          <w:p w14:paraId="11B6C8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w="5896" w:type="dxa"/>
          </w:tcPr>
          <w:p w14:paraId="6CA683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27/27 场景达成期望（含预期失败的负向场景）</w:t>
            </w:r>
          </w:p>
        </w:tc>
      </w:tr>
      <w:tr w14:paraId="419F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A0D42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trace_replay_match_rate</w:t>
            </w:r>
          </w:p>
        </w:tc>
        <w:tc>
          <w:tcPr>
            <w:tcW w:w="1020" w:type="dxa"/>
          </w:tcPr>
          <w:p w14:paraId="09801B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w="5896" w:type="dxa"/>
          </w:tcPr>
          <w:p w14:paraId="4BBDF1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轨迹回放与原始轨迹 100% 匹配</w:t>
            </w:r>
          </w:p>
        </w:tc>
      </w:tr>
      <w:tr w14:paraId="1284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C6F9B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restart_recovery_rate</w:t>
            </w:r>
          </w:p>
        </w:tc>
        <w:tc>
          <w:tcPr>
            <w:tcW w:w="1020" w:type="dxa"/>
          </w:tcPr>
          <w:p w14:paraId="43725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w="5896" w:type="dxa"/>
          </w:tcPr>
          <w:p w14:paraId="52FCF3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重启后续跑恢复率（全新仓储 + 全新 runtime）</w:t>
            </w:r>
          </w:p>
        </w:tc>
      </w:tr>
      <w:tr w14:paraId="3923C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7E2AD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idempotency_conflict_rate</w:t>
            </w:r>
          </w:p>
        </w:tc>
        <w:tc>
          <w:tcPr>
            <w:tcW w:w="1020" w:type="dxa"/>
          </w:tcPr>
          <w:p w14:paraId="7492F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w="5896" w:type="dxa"/>
          </w:tcPr>
          <w:p w14:paraId="225B18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幂等键 / 乐观锁冲突全部被正确拦截</w:t>
            </w:r>
          </w:p>
        </w:tc>
      </w:tr>
      <w:tr w14:paraId="7F872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B2AA4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approval_handoff_success_rate</w:t>
            </w:r>
          </w:p>
        </w:tc>
        <w:tc>
          <w:tcPr>
            <w:tcW w:w="1020" w:type="dxa"/>
          </w:tcPr>
          <w:p w14:paraId="73D093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w="5896" w:type="dxa"/>
          </w:tcPr>
          <w:p w14:paraId="77BC3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跨角色审批交接成功率</w:t>
            </w:r>
          </w:p>
        </w:tc>
      </w:tr>
      <w:tr w14:paraId="4C41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91278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model_fallback_rate</w:t>
            </w:r>
          </w:p>
        </w:tc>
        <w:tc>
          <w:tcPr>
            <w:tcW w:w="1020" w:type="dxa"/>
          </w:tcPr>
          <w:p w14:paraId="182DC0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0.75</w:t>
            </w:r>
          </w:p>
        </w:tc>
        <w:tc>
          <w:tcPr>
            <w:tcW w:w="5896" w:type="dxa"/>
          </w:tcPr>
          <w:p w14:paraId="26093D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模型规划回退规则模式的比例（含超时 / 非法输出）</w:t>
            </w:r>
          </w:p>
        </w:tc>
      </w:tr>
      <w:tr w14:paraId="0AF6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07D2F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device_fault_recovery_rate</w:t>
            </w:r>
          </w:p>
        </w:tc>
        <w:tc>
          <w:tcPr>
            <w:tcW w:w="1020" w:type="dxa"/>
          </w:tcPr>
          <w:p w14:paraId="22160D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0.75</w:t>
            </w:r>
          </w:p>
        </w:tc>
        <w:tc>
          <w:tcPr>
            <w:tcW w:w="5896" w:type="dxa"/>
          </w:tcPr>
          <w:p w14:paraId="1EA755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注入设备故障的恢复率</w:t>
            </w:r>
          </w:p>
        </w:tc>
      </w:tr>
    </w:tbl>
    <w:p w14:paraId="1BF9DB44">
      <w:pPr>
        <w:spacing w:before="0" w:after="160"/>
        <w:ind w:left="113"/>
      </w:pPr>
      <w:r>
        <w:rPr>
          <w:rFonts w:ascii="微软雅黑" w:hAnsi="微软雅黑" w:eastAsia="微软雅黑"/>
          <w:b w:val="0"/>
          <w:color w:val="555555"/>
          <w:sz w:val="18"/>
        </w:rPr>
        <w:t>口径：E1（进程内确定性仿真；假模型客户端、内存设备孪生、SQLite），不构成真实模型、真实设备或现场验证证据。</w:t>
      </w:r>
    </w:p>
    <w:p w14:paraId="02A184E8">
      <w:pPr>
        <w:spacing w:before="0" w:after="100"/>
      </w:pPr>
      <w:r>
        <w:rPr>
          <w:rFonts w:ascii="微软雅黑" w:hAnsi="微软雅黑" w:eastAsia="微软雅黑"/>
          <w:b/>
          <w:color w:val="0B3B5C"/>
          <w:sz w:val="24"/>
        </w:rPr>
        <w:t>三、真实状态集成验收（证据等级 E2，2026-09-19）</w:t>
      </w:r>
    </w:p>
    <w:p w14:paraId="15167602">
      <w:pPr>
        <w:spacing w:before="0" w:after="60"/>
        <w:ind w:left="113"/>
      </w:pPr>
      <w:r>
        <w:rPr>
          <w:rFonts w:ascii="微软雅黑" w:hAnsi="微软雅黑" w:eastAsia="微软雅黑"/>
          <w:b w:val="0"/>
          <w:sz w:val="19"/>
        </w:rPr>
        <w:t>129 / 129 项检查全部通过。验收范围：真实 HTTP API、鉴权 / 授权、PostgreSQL 持久化、任务创建、WRITE 审批门禁、幂等重放、进程重启后只读回放。报告文件：原始报告 / 真实状态集成验收_129项.json。</w:t>
      </w:r>
    </w:p>
    <w:p w14:paraId="674FEB8B">
      <w:pPr>
        <w:spacing w:before="0" w:after="160"/>
        <w:ind w:left="113"/>
      </w:pPr>
      <w:r>
        <w:rPr>
          <w:rFonts w:ascii="微软雅黑" w:hAnsi="微软雅黑" w:eastAsia="微软雅黑"/>
          <w:b w:val="0"/>
          <w:color w:val="555555"/>
          <w:sz w:val="18"/>
        </w:rPr>
        <w:t>口径：使用合成事件，不含真实相机、海域、用户或硬件证据。</w:t>
      </w:r>
    </w:p>
    <w:p w14:paraId="03D9C72B">
      <w:pPr>
        <w:spacing w:before="0" w:after="100"/>
      </w:pPr>
      <w:r>
        <w:rPr>
          <w:rFonts w:ascii="微软雅黑" w:hAnsi="微软雅黑" w:eastAsia="微软雅黑"/>
          <w:b/>
          <w:color w:val="0B3B5C"/>
          <w:sz w:val="24"/>
        </w:rPr>
        <w:t>四、受控故障注入自证（证据等级 E1，2026-09-19）</w:t>
      </w:r>
    </w:p>
    <w:p w14:paraId="5D35902F">
      <w:pPr>
        <w:spacing w:before="0" w:after="160"/>
        <w:ind w:left="113"/>
      </w:pPr>
      <w:r>
        <w:rPr>
          <w:rFonts w:ascii="微软雅黑" w:hAnsi="微软雅黑" w:eastAsia="微软雅黑"/>
          <w:b w:val="0"/>
          <w:sz w:val="19"/>
        </w:rPr>
        <w:t>4 组共 127 项确定性用例全部通过（健康降级、ACK 启动恢复等）。报告文件：原始报告 / 受控故障注入自证_127项.json。口径：进程内注入 / 内存 transport / scratch PostgreSQL，不代表真实 broker、公网或硬件故障。</w:t>
      </w:r>
    </w:p>
    <w:p w14:paraId="3251CF1B">
      <w:pPr>
        <w:spacing w:before="0" w:after="100"/>
      </w:pPr>
      <w:r>
        <w:rPr>
          <w:rFonts w:ascii="微软雅黑" w:hAnsi="微软雅黑" w:eastAsia="微软雅黑"/>
          <w:b/>
          <w:color w:val="0B3B5C"/>
          <w:sz w:val="24"/>
        </w:rPr>
        <w:t>五、自动化测试</w:t>
      </w:r>
    </w:p>
    <w:p w14:paraId="4AB73C20">
      <w:pPr>
        <w:spacing w:before="0" w:after="160"/>
        <w:ind w:left="113"/>
      </w:pPr>
      <w:r>
        <w:rPr>
          <w:rFonts w:ascii="微软雅黑" w:hAnsi="微软雅黑" w:eastAsia="微软雅黑"/>
          <w:b w:val="0"/>
          <w:sz w:val="19"/>
        </w:rPr>
        <w:t>全量 1061 项自动化测试通过（覆盖 backend / edge / ml 三个模块，pytest 统一收集）。</w:t>
      </w:r>
    </w:p>
    <w:p w14:paraId="430C61CF">
      <w:pPr>
        <w:spacing w:before="0" w:after="100"/>
      </w:pPr>
      <w:r>
        <w:rPr>
          <w:rFonts w:ascii="微软雅黑" w:hAnsi="微软雅黑" w:eastAsia="微软雅黑"/>
          <w:b/>
          <w:color w:val="0B3B5C"/>
          <w:sz w:val="24"/>
        </w:rPr>
        <w:t>六、证据等级与口径声明</w:t>
      </w:r>
    </w:p>
    <w:p w14:paraId="05725ABC">
      <w:pPr>
        <w:spacing w:before="0" w:after="60"/>
        <w:ind w:left="113"/>
      </w:pPr>
      <w:r>
        <w:rPr>
          <w:rFonts w:ascii="微软雅黑" w:hAnsi="微软雅黑" w:eastAsia="微软雅黑"/>
          <w:b w:val="0"/>
          <w:sz w:val="19"/>
        </w:rPr>
        <w:t>• 证据分级：E0 想法 / E1 代码与确定性仿真 / E2 多模块软件联调 / E3 真实设备或用户参与 / E4 合同订单回款验收。</w:t>
      </w:r>
    </w:p>
    <w:p w14:paraId="67EEE13A">
      <w:pPr>
        <w:spacing w:before="0" w:after="60"/>
        <w:ind w:left="113"/>
      </w:pPr>
      <w:r>
        <w:rPr>
          <w:rFonts w:ascii="微软雅黑" w:hAnsi="微软雅黑" w:eastAsia="微软雅黑"/>
          <w:b w:val="0"/>
          <w:sz w:val="19"/>
        </w:rPr>
        <w:t>• 本文全部结果处于 E1—E2；公开基准评测所用数据集为真实公开数据，但被测系统未在真实海域运行，不得据此宣称 E3 / E4。</w:t>
      </w:r>
    </w:p>
    <w:p w14:paraId="73C2290E">
      <w:pPr>
        <w:spacing w:before="0" w:after="60"/>
        <w:ind w:left="113"/>
      </w:pPr>
      <w:r>
        <w:rPr>
          <w:rFonts w:ascii="微软雅黑" w:hAnsi="微软雅黑" w:eastAsia="微软雅黑"/>
          <w:b w:val="0"/>
          <w:sz w:val="19"/>
        </w:rPr>
        <w:t>• 42%～76% 仅指「时序链路误报抑制率」（被时序过滤的检测数 / 输入检测数），不代表识别精度、召回率或准确率。</w:t>
      </w:r>
    </w:p>
    <w:p w14:paraId="43148A8A">
      <w:pPr>
        <w:spacing w:before="0" w:after="60"/>
        <w:ind w:left="113"/>
      </w:pPr>
      <w:r>
        <w:rPr>
          <w:rFonts w:ascii="微软雅黑" w:hAnsi="微软雅黑" w:eastAsia="微软雅黑"/>
          <w:b w:val="0"/>
          <w:sz w:val="19"/>
        </w:rPr>
        <w:t>• 全部原始报告以 JSON 形式存于同目录，含代码版本指纹、配置哈希与命令，可复跑、可复核。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A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1099</Words>
  <Characters>1661</Characters>
  <Lines>0</Lines>
  <Paragraphs>0</Paragraphs>
  <TotalTime>0</TotalTime>
  <ScaleCrop>false</ScaleCrop>
  <LinksUpToDate>false</LinksUpToDate>
  <CharactersWithSpaces>1787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2026-10-10T06:03:54Z</dcterms:modified>
  <cp:revision>1</cp:revision>
  <dc:title/>
  <dc:subject/>
  <cp:keywords/>
  <cp:category/>
  <cp:contentStatus/>
  <dc:identifier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eyJoZGlkIjoiODY2NmI3OTI3OTg0MzVjODUxYzZlYmQ3NjhiZDg5NDQiLCJ1c2VySWQiOiIxMzI3NDMxOTI5In0=</vt:lpwstr>
  </property>
  <property fmtid="{D5CDD505-2E9C-101B-9397-08002B2CF9AE}" pid="3" name="KSOProductBuildVer">
    <vt:lpwstr>2052-12.1.0.28505</vt:lpwstr>
  </property>
  <property fmtid="{D5CDD505-2E9C-101B-9397-08002B2CF9AE}" pid="4" name="ICV">
    <vt:lpwstr>75B3A370AB294B28BC9949DA0B709B90_12</vt:lpwstr>
  </property>
</Properties>
</file>