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CB0" w:rsidRPr="00CB725C" w:rsidRDefault="000D7CB0" w:rsidP="000D7CB0">
      <w:pPr>
        <w:pStyle w:val="Ttulo2"/>
        <w:spacing w:after="240"/>
        <w:rPr>
          <w:rFonts w:ascii="Bookman Old Style" w:hAnsi="Bookman Old Style"/>
          <w:sz w:val="32"/>
          <w:szCs w:val="32"/>
        </w:rPr>
      </w:pPr>
      <w:r w:rsidRPr="00CB725C">
        <w:rPr>
          <w:rFonts w:ascii="Bookman Old Style" w:hAnsi="Bookman Old Style"/>
          <w:sz w:val="32"/>
          <w:szCs w:val="32"/>
        </w:rPr>
        <w:t>1.1. Antecedentes de la Empresa</w:t>
      </w:r>
    </w:p>
    <w:p w:rsidR="00CB725C" w:rsidRPr="00CB725C" w:rsidRDefault="00CB725C" w:rsidP="00CB725C">
      <w:pPr>
        <w:pStyle w:val="Ttulo2"/>
        <w:spacing w:after="240"/>
        <w:rPr>
          <w:rFonts w:ascii="Bookman Old Style" w:hAnsi="Bookman Old Style"/>
          <w:sz w:val="28"/>
          <w:szCs w:val="28"/>
        </w:rPr>
      </w:pPr>
      <w:r w:rsidRPr="00CB725C">
        <w:rPr>
          <w:rFonts w:ascii="Bookman Old Style" w:hAnsi="Bookman Old Style"/>
          <w:sz w:val="28"/>
          <w:szCs w:val="28"/>
        </w:rPr>
        <w:t>1.1.1. ¿Qué es el TecNM?</w:t>
      </w:r>
    </w:p>
    <w:p w:rsidR="000D7CB0" w:rsidRPr="000D7CB0" w:rsidRDefault="000D7CB0" w:rsidP="000D7CB0">
      <w:pPr>
        <w:spacing w:after="240"/>
        <w:ind w:firstLine="567"/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 xml:space="preserve">El </w:t>
      </w:r>
      <w:r w:rsidRPr="000D7CB0">
        <w:rPr>
          <w:rFonts w:ascii="Bookman Old Style" w:hAnsi="Bookman Old Style"/>
          <w:b/>
          <w:sz w:val="26"/>
          <w:szCs w:val="26"/>
        </w:rPr>
        <w:t>Tecnológico Nacional de México (TecNM)</w:t>
      </w:r>
      <w:r w:rsidRPr="000D7CB0">
        <w:rPr>
          <w:rFonts w:ascii="Bookman Old Style" w:hAnsi="Bookman Old Style"/>
          <w:sz w:val="26"/>
          <w:szCs w:val="26"/>
        </w:rPr>
        <w:t xml:space="preserve"> está constituido por 266 instituciones, de las cuales 1</w:t>
      </w:r>
      <w:r>
        <w:rPr>
          <w:rFonts w:ascii="Bookman Old Style" w:hAnsi="Bookman Old Style"/>
          <w:sz w:val="26"/>
          <w:szCs w:val="26"/>
        </w:rPr>
        <w:t>26 son Institutos Tecnológicos F</w:t>
      </w:r>
      <w:r w:rsidRPr="000D7CB0">
        <w:rPr>
          <w:rFonts w:ascii="Bookman Old Style" w:hAnsi="Bookman Old Style"/>
          <w:sz w:val="26"/>
          <w:szCs w:val="26"/>
        </w:rPr>
        <w:t>ederales, 134 Institutos Tecnológicos Descentralizados, cuatro Centros Regionales de Optimización y Desarrollo de Equipo (CRODE), un Centro Interdisciplinario de Investigación y Docencia en Educación Técnica (CIIDET) y un Centro Nacional de Investigación y Desarrollo Tecnológico (CENIDET). En estas instituciones, el TecNM atiende a una población escolar de 521,105 estudiantes en licenciatura y posgrado en todo el territorio nacional, incluido el Distrito Federal.</w:t>
      </w:r>
    </w:p>
    <w:p w:rsidR="00A06775" w:rsidRDefault="000D7CB0" w:rsidP="000D7CB0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 xml:space="preserve">El siguiente proyecto se pretende desarrollar para el </w:t>
      </w:r>
      <w:r w:rsidRPr="000D7CB0">
        <w:rPr>
          <w:rFonts w:ascii="Bookman Old Style" w:hAnsi="Bookman Old Style"/>
          <w:i/>
          <w:sz w:val="26"/>
          <w:szCs w:val="26"/>
        </w:rPr>
        <w:t>Instituto Tecnológico Gustavo A. Madero (ITGAM)</w:t>
      </w:r>
      <w:r w:rsidR="003313BA">
        <w:rPr>
          <w:rFonts w:ascii="Bookman Old Style" w:hAnsi="Bookman Old Style"/>
          <w:i/>
          <w:sz w:val="26"/>
          <w:szCs w:val="26"/>
        </w:rPr>
        <w:t>,</w:t>
      </w:r>
      <w:r w:rsidRPr="000D7CB0">
        <w:rPr>
          <w:rFonts w:ascii="Bookman Old Style" w:hAnsi="Bookman Old Style"/>
          <w:sz w:val="26"/>
          <w:szCs w:val="26"/>
        </w:rPr>
        <w:t xml:space="preserve"> </w:t>
      </w:r>
      <w:r w:rsidR="00A06775">
        <w:rPr>
          <w:rFonts w:ascii="Bookman Old Style" w:hAnsi="Bookman Old Style"/>
          <w:sz w:val="26"/>
          <w:szCs w:val="26"/>
        </w:rPr>
        <w:t xml:space="preserve">fundado el Lunes 9 de Febrero de 2009, su actual director es M.C. Gerardo Marchant Ortíz </w:t>
      </w:r>
    </w:p>
    <w:p w:rsidR="003313BA" w:rsidRPr="003313BA" w:rsidRDefault="003313BA" w:rsidP="003313BA">
      <w:pPr>
        <w:ind w:firstLine="567"/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E</w:t>
      </w:r>
      <w:r w:rsidRPr="003313BA">
        <w:rPr>
          <w:rFonts w:ascii="Bookman Old Style" w:hAnsi="Bookman Old Style"/>
          <w:sz w:val="26"/>
          <w:szCs w:val="26"/>
        </w:rPr>
        <w:t>s una institución que busca el desarrollo de profesionales a través de una propuesta académica visionaria, sustentada en la investigación y un ambiente estudiantil abierto y respetuoso. Actualmente, el instituto ofrece tres ingenierías en áreas de alta demanda por parte del sector productivo.</w:t>
      </w:r>
    </w:p>
    <w:p w:rsidR="00A06775" w:rsidRDefault="003313BA" w:rsidP="003313BA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3313BA">
        <w:rPr>
          <w:rFonts w:ascii="Bookman Old Style" w:hAnsi="Bookman Old Style"/>
          <w:sz w:val="26"/>
          <w:szCs w:val="26"/>
        </w:rPr>
        <w:t>El I</w:t>
      </w:r>
      <w:r>
        <w:rPr>
          <w:rFonts w:ascii="Bookman Old Style" w:hAnsi="Bookman Old Style"/>
          <w:sz w:val="26"/>
          <w:szCs w:val="26"/>
        </w:rPr>
        <w:t>TGAM</w:t>
      </w:r>
      <w:r w:rsidRPr="003313BA">
        <w:rPr>
          <w:rFonts w:ascii="Bookman Old Style" w:hAnsi="Bookman Old Style"/>
          <w:sz w:val="26"/>
          <w:szCs w:val="26"/>
        </w:rPr>
        <w:t xml:space="preserve"> cuenta con la certificación ISO9001:2008 a la calidad.</w:t>
      </w:r>
    </w:p>
    <w:p w:rsidR="000D7CB0" w:rsidRDefault="003313BA" w:rsidP="000D7CB0">
      <w:pPr>
        <w:ind w:firstLine="567"/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>E</w:t>
      </w:r>
      <w:r w:rsidR="000D7CB0" w:rsidRPr="000D7CB0">
        <w:rPr>
          <w:rFonts w:ascii="Bookman Old Style" w:hAnsi="Bookman Old Style"/>
          <w:sz w:val="26"/>
          <w:szCs w:val="26"/>
        </w:rPr>
        <w:t>s una Institución de Educación Superior que forma parte de la Subsecretaría de Educación Superior (SES) que coordina la Dirección General de Educación Superior Tecnológica (DGEST).</w:t>
      </w:r>
    </w:p>
    <w:p w:rsidR="00CB725C" w:rsidRDefault="000D7CB0" w:rsidP="00CB725C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Su función sustantiva es la docencia, la investigación y la extensión de la cultura, basándose en una propuesta visionaria en donde la formación de las personas que se integran al Modelo Educativo tienen claridad en su hacer y pensar, siendo atendidas en un entorno de clase mundial.</w:t>
      </w:r>
    </w:p>
    <w:p w:rsidR="00A06775" w:rsidRDefault="00A06775" w:rsidP="00CB725C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A06775">
        <w:rPr>
          <w:rFonts w:ascii="Bookman Old Style" w:hAnsi="Bookman Old Style"/>
          <w:sz w:val="26"/>
          <w:szCs w:val="26"/>
        </w:rPr>
        <w:lastRenderedPageBreak/>
        <w:t>El ITGAM atiende a más de 2,100 alumnos</w:t>
      </w:r>
      <w:r>
        <w:rPr>
          <w:rFonts w:ascii="Bookman Old Style" w:hAnsi="Bookman Old Style"/>
          <w:sz w:val="26"/>
          <w:szCs w:val="26"/>
        </w:rPr>
        <w:t xml:space="preserve"> en sus instalaciones para las Ofertas Educativas de:</w:t>
      </w:r>
    </w:p>
    <w:p w:rsidR="003313BA" w:rsidRPr="00B34627" w:rsidRDefault="003313BA" w:rsidP="00B34627">
      <w:pPr>
        <w:pStyle w:val="Prrafodelista"/>
        <w:numPr>
          <w:ilvl w:val="0"/>
          <w:numId w:val="3"/>
        </w:numPr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Ingeniería en Tecnologías de la Información y Comu</w:t>
      </w:r>
      <w:r w:rsidR="00B34627" w:rsidRPr="00B34627">
        <w:rPr>
          <w:rFonts w:ascii="Bookman Old Style" w:hAnsi="Bookman Old Style"/>
          <w:sz w:val="26"/>
          <w:szCs w:val="26"/>
        </w:rPr>
        <w:t>nicaciones</w:t>
      </w:r>
    </w:p>
    <w:p w:rsidR="003313BA" w:rsidRPr="00B34627" w:rsidRDefault="003313BA" w:rsidP="00B34627">
      <w:pPr>
        <w:pStyle w:val="Prrafodelista"/>
        <w:numPr>
          <w:ilvl w:val="0"/>
          <w:numId w:val="3"/>
        </w:numPr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Ingeniería en Gestión Empresarial</w:t>
      </w:r>
    </w:p>
    <w:p w:rsidR="003313BA" w:rsidRPr="00B34627" w:rsidRDefault="003313BA" w:rsidP="00B34627">
      <w:pPr>
        <w:pStyle w:val="Prrafodelista"/>
        <w:numPr>
          <w:ilvl w:val="0"/>
          <w:numId w:val="3"/>
        </w:numPr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Ingeniería en Logística</w:t>
      </w:r>
    </w:p>
    <w:p w:rsidR="003313BA" w:rsidRPr="00B34627" w:rsidRDefault="003313BA" w:rsidP="00B34627">
      <w:pPr>
        <w:pStyle w:val="Prrafodelista"/>
        <w:numPr>
          <w:ilvl w:val="0"/>
          <w:numId w:val="3"/>
        </w:numPr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Ingeniería Industrial</w:t>
      </w:r>
    </w:p>
    <w:p w:rsidR="003313BA" w:rsidRPr="00B34627" w:rsidRDefault="003313BA" w:rsidP="00B34627">
      <w:pPr>
        <w:pStyle w:val="Prrafodelista"/>
        <w:numPr>
          <w:ilvl w:val="0"/>
          <w:numId w:val="3"/>
        </w:numPr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Ingeniería Ambiental</w:t>
      </w:r>
    </w:p>
    <w:p w:rsidR="00A06775" w:rsidRDefault="00A06775">
      <w:pPr>
        <w:rPr>
          <w:rFonts w:ascii="Bookman Old Style" w:eastAsiaTheme="majorEastAsia" w:hAnsi="Bookman Old Style" w:cstheme="majorBidi"/>
          <w:b/>
          <w:bCs/>
          <w:color w:val="4F81BD" w:themeColor="accent1"/>
          <w:sz w:val="28"/>
          <w:szCs w:val="28"/>
        </w:rPr>
      </w:pPr>
    </w:p>
    <w:p w:rsidR="00CB725C" w:rsidRPr="00CB725C" w:rsidRDefault="00CB725C" w:rsidP="00CB725C">
      <w:pPr>
        <w:pStyle w:val="Ttulo2"/>
        <w:spacing w:after="240"/>
        <w:rPr>
          <w:rFonts w:ascii="Bookman Old Style" w:hAnsi="Bookman Old Style"/>
          <w:sz w:val="28"/>
          <w:szCs w:val="28"/>
        </w:rPr>
      </w:pPr>
      <w:r w:rsidRPr="00CB725C">
        <w:rPr>
          <w:rFonts w:ascii="Bookman Old Style" w:hAnsi="Bookman Old Style"/>
          <w:sz w:val="28"/>
          <w:szCs w:val="28"/>
        </w:rPr>
        <w:t>1.1.2. Misión, Visión y Valores</w:t>
      </w:r>
    </w:p>
    <w:p w:rsidR="000D7CB0" w:rsidRPr="000D7CB0" w:rsidRDefault="000D7CB0" w:rsidP="000D7CB0">
      <w:pPr>
        <w:ind w:firstLine="567"/>
        <w:jc w:val="both"/>
        <w:rPr>
          <w:rFonts w:ascii="Bookman Old Style" w:hAnsi="Bookman Old Style"/>
          <w:b/>
          <w:sz w:val="26"/>
          <w:szCs w:val="26"/>
        </w:rPr>
      </w:pPr>
      <w:r w:rsidRPr="000D7CB0">
        <w:rPr>
          <w:rFonts w:ascii="Bookman Old Style" w:hAnsi="Bookman Old Style"/>
          <w:b/>
          <w:sz w:val="26"/>
          <w:szCs w:val="26"/>
        </w:rPr>
        <w:t>Misión</w:t>
      </w:r>
    </w:p>
    <w:p w:rsidR="000D7CB0" w:rsidRPr="000D7CB0" w:rsidRDefault="000D7CB0" w:rsidP="000D7CB0">
      <w:pPr>
        <w:ind w:firstLine="567"/>
        <w:jc w:val="both"/>
        <w:rPr>
          <w:rFonts w:ascii="Bookman Old Style" w:hAnsi="Bookman Old Style"/>
          <w:i/>
          <w:sz w:val="26"/>
          <w:szCs w:val="26"/>
        </w:rPr>
      </w:pPr>
      <w:r w:rsidRPr="000D7CB0">
        <w:rPr>
          <w:rFonts w:ascii="Bookman Old Style" w:hAnsi="Bookman Old Style"/>
          <w:i/>
          <w:sz w:val="26"/>
          <w:szCs w:val="26"/>
        </w:rPr>
        <w:t>"Educar con Responsabilidad y Excelencia para formar a Personas Competitivas en el Ámbito Social - Laboral, con un Modelo Educativo de Vanguardia que busca un Equilibrio de Enseñanza en Tecnología y Ética"</w:t>
      </w:r>
    </w:p>
    <w:p w:rsidR="000D7CB0" w:rsidRPr="000D7CB0" w:rsidRDefault="000D7CB0" w:rsidP="000D7CB0">
      <w:pPr>
        <w:ind w:firstLine="567"/>
        <w:jc w:val="both"/>
        <w:rPr>
          <w:rFonts w:ascii="Bookman Old Style" w:hAnsi="Bookman Old Style"/>
          <w:b/>
          <w:sz w:val="26"/>
          <w:szCs w:val="26"/>
        </w:rPr>
      </w:pPr>
      <w:r w:rsidRPr="000D7CB0">
        <w:rPr>
          <w:rFonts w:ascii="Bookman Old Style" w:hAnsi="Bookman Old Style"/>
          <w:b/>
          <w:sz w:val="26"/>
          <w:szCs w:val="26"/>
        </w:rPr>
        <w:t>Visión</w:t>
      </w:r>
    </w:p>
    <w:p w:rsidR="000D7CB0" w:rsidRDefault="000D7CB0" w:rsidP="000D7CB0">
      <w:pPr>
        <w:ind w:firstLine="567"/>
        <w:jc w:val="both"/>
        <w:rPr>
          <w:rFonts w:ascii="Bookman Old Style" w:hAnsi="Bookman Old Style"/>
          <w:i/>
          <w:sz w:val="26"/>
          <w:szCs w:val="26"/>
        </w:rPr>
      </w:pPr>
      <w:r w:rsidRPr="000D7CB0">
        <w:rPr>
          <w:rFonts w:ascii="Bookman Old Style" w:hAnsi="Bookman Old Style"/>
          <w:i/>
          <w:sz w:val="26"/>
          <w:szCs w:val="26"/>
        </w:rPr>
        <w:t>"Ser una Institución de Nivel Superior Reconocida por su Modelo Educativo, que Forme a sus Egresados con una Actitud Humana: de Liderazgo y Calidad, que sean Capaces de hacer Aportaciones Tecnológicas, Innovadoras y Vanguardistas tanto en el Sector Productivo, como en el de Servicios."</w:t>
      </w:r>
    </w:p>
    <w:p w:rsidR="000D7CB0" w:rsidRPr="000D7CB0" w:rsidRDefault="000D7CB0" w:rsidP="000D7CB0">
      <w:pPr>
        <w:ind w:firstLine="567"/>
        <w:jc w:val="both"/>
        <w:rPr>
          <w:rFonts w:ascii="Bookman Old Style" w:hAnsi="Bookman Old Style"/>
          <w:b/>
          <w:sz w:val="26"/>
          <w:szCs w:val="26"/>
        </w:rPr>
      </w:pPr>
      <w:r w:rsidRPr="000D7CB0">
        <w:rPr>
          <w:rFonts w:ascii="Bookman Old Style" w:hAnsi="Bookman Old Style"/>
          <w:b/>
          <w:sz w:val="26"/>
          <w:szCs w:val="26"/>
        </w:rPr>
        <w:t>Valores</w:t>
      </w:r>
    </w:p>
    <w:p w:rsidR="000D7CB0" w:rsidRPr="000D7CB0" w:rsidRDefault="000D7CB0" w:rsidP="000D7CB0">
      <w:pPr>
        <w:pStyle w:val="Prrafodelista"/>
        <w:numPr>
          <w:ilvl w:val="0"/>
          <w:numId w:val="1"/>
        </w:numPr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Calidad</w:t>
      </w:r>
    </w:p>
    <w:p w:rsidR="000D7CB0" w:rsidRPr="000D7CB0" w:rsidRDefault="000D7CB0" w:rsidP="000D7CB0">
      <w:pPr>
        <w:pStyle w:val="Prrafodelista"/>
        <w:numPr>
          <w:ilvl w:val="0"/>
          <w:numId w:val="1"/>
        </w:numPr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Liderazgo</w:t>
      </w:r>
    </w:p>
    <w:p w:rsidR="000D7CB0" w:rsidRPr="000D7CB0" w:rsidRDefault="000D7CB0" w:rsidP="000D7CB0">
      <w:pPr>
        <w:pStyle w:val="Prrafodelista"/>
        <w:numPr>
          <w:ilvl w:val="0"/>
          <w:numId w:val="1"/>
        </w:numPr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Creatividad</w:t>
      </w:r>
    </w:p>
    <w:p w:rsidR="000D7CB0" w:rsidRPr="000D7CB0" w:rsidRDefault="000D7CB0" w:rsidP="000D7CB0">
      <w:pPr>
        <w:pStyle w:val="Prrafodelista"/>
        <w:numPr>
          <w:ilvl w:val="0"/>
          <w:numId w:val="1"/>
        </w:numPr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Perseverancia</w:t>
      </w:r>
    </w:p>
    <w:p w:rsidR="000D7CB0" w:rsidRPr="000D7CB0" w:rsidRDefault="000D7CB0" w:rsidP="000D7CB0">
      <w:pPr>
        <w:pStyle w:val="Prrafodelista"/>
        <w:numPr>
          <w:ilvl w:val="0"/>
          <w:numId w:val="1"/>
        </w:numPr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Responsabilidad</w:t>
      </w:r>
    </w:p>
    <w:p w:rsidR="000D7CB0" w:rsidRDefault="000D7CB0" w:rsidP="000D7CB0">
      <w:pPr>
        <w:pStyle w:val="Prrafodelista"/>
        <w:numPr>
          <w:ilvl w:val="0"/>
          <w:numId w:val="1"/>
        </w:numPr>
        <w:jc w:val="both"/>
        <w:rPr>
          <w:rFonts w:ascii="Bookman Old Style" w:hAnsi="Bookman Old Style"/>
          <w:sz w:val="26"/>
          <w:szCs w:val="26"/>
        </w:rPr>
      </w:pPr>
      <w:r w:rsidRPr="000D7CB0">
        <w:rPr>
          <w:rFonts w:ascii="Bookman Old Style" w:hAnsi="Bookman Old Style"/>
          <w:sz w:val="26"/>
          <w:szCs w:val="26"/>
        </w:rPr>
        <w:t>Espíritu Emprendedor</w:t>
      </w:r>
    </w:p>
    <w:p w:rsidR="00A2159D" w:rsidRDefault="00A2159D" w:rsidP="000D7CB0">
      <w:pPr>
        <w:jc w:val="both"/>
        <w:rPr>
          <w:rFonts w:ascii="Bookman Old Style" w:hAnsi="Bookman Old Style"/>
          <w:sz w:val="26"/>
          <w:szCs w:val="26"/>
        </w:rPr>
        <w:sectPr w:rsidR="00A2159D" w:rsidSect="000D7CB0">
          <w:headerReference w:type="default" r:id="rId7"/>
          <w:footerReference w:type="default" r:id="rId8"/>
          <w:pgSz w:w="12240" w:h="15840"/>
          <w:pgMar w:top="1985" w:right="1134" w:bottom="1702" w:left="1701" w:header="709" w:footer="709" w:gutter="0"/>
          <w:cols w:space="708"/>
          <w:docGrid w:linePitch="360"/>
        </w:sectPr>
      </w:pPr>
    </w:p>
    <w:p w:rsidR="00A2159D" w:rsidRDefault="00A2159D" w:rsidP="000D7CB0">
      <w:pPr>
        <w:jc w:val="both"/>
        <w:rPr>
          <w:rFonts w:ascii="Bookman Old Style" w:hAnsi="Bookman Old Style"/>
          <w:sz w:val="26"/>
          <w:szCs w:val="26"/>
        </w:rPr>
      </w:pPr>
    </w:p>
    <w:p w:rsidR="00A2159D" w:rsidRDefault="00A2159D" w:rsidP="000D7CB0">
      <w:pPr>
        <w:jc w:val="both"/>
        <w:rPr>
          <w:rFonts w:ascii="Bookman Old Style" w:hAnsi="Bookman Old Style"/>
          <w:sz w:val="26"/>
          <w:szCs w:val="26"/>
        </w:rPr>
      </w:pPr>
    </w:p>
    <w:p w:rsidR="00A2159D" w:rsidRPr="00CB725C" w:rsidRDefault="00CB725C" w:rsidP="00CB725C">
      <w:pPr>
        <w:pStyle w:val="Ttulo2"/>
        <w:spacing w:after="240"/>
        <w:rPr>
          <w:rFonts w:ascii="Bookman Old Style" w:hAnsi="Bookman Old Style"/>
          <w:sz w:val="28"/>
          <w:szCs w:val="28"/>
        </w:rPr>
      </w:pPr>
      <w:r w:rsidRPr="00CB725C">
        <w:rPr>
          <w:rFonts w:ascii="Bookman Old Style" w:hAnsi="Bookman Old Style"/>
          <w:sz w:val="28"/>
          <w:szCs w:val="28"/>
        </w:rPr>
        <w:t>1.1.3. Organigrama del ITGAM</w:t>
      </w:r>
    </w:p>
    <w:p w:rsidR="00A2159D" w:rsidRDefault="00A2159D" w:rsidP="000D7CB0">
      <w:pPr>
        <w:jc w:val="both"/>
        <w:rPr>
          <w:rFonts w:ascii="Bookman Old Style" w:hAnsi="Bookman Old Style"/>
          <w:sz w:val="26"/>
          <w:szCs w:val="26"/>
        </w:rPr>
      </w:pPr>
    </w:p>
    <w:p w:rsidR="00A2159D" w:rsidRDefault="00B866FB" w:rsidP="00CD37E0">
      <w:pPr>
        <w:jc w:val="center"/>
        <w:rPr>
          <w:rFonts w:ascii="Bookman Old Style" w:hAnsi="Bookman Old Style"/>
          <w:sz w:val="26"/>
          <w:szCs w:val="26"/>
        </w:rPr>
        <w:sectPr w:rsidR="00A2159D" w:rsidSect="00A2159D">
          <w:pgSz w:w="15840" w:h="12240" w:orient="landscape"/>
          <w:pgMar w:top="1134" w:right="1701" w:bottom="1701" w:left="1985" w:header="709" w:footer="709" w:gutter="0"/>
          <w:cols w:space="708"/>
          <w:docGrid w:linePitch="360"/>
        </w:sectPr>
      </w:pPr>
      <w:r>
        <w:rPr>
          <w:rFonts w:ascii="Bookman Old Style" w:hAnsi="Bookman Old Style"/>
          <w:noProof/>
          <w:sz w:val="26"/>
          <w:szCs w:val="26"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.45pt;margin-top:271.7pt;width:652.6pt;height:21.5pt;z-index:251662336" filled="f" stroked="f">
            <v:textbox>
              <w:txbxContent>
                <w:p w:rsidR="00CD37E0" w:rsidRPr="00DD380E" w:rsidRDefault="00CD37E0" w:rsidP="00CD37E0">
                  <w:pPr>
                    <w:jc w:val="center"/>
                    <w:rPr>
                      <w:rFonts w:ascii="Bookman Old Style" w:hAnsi="Bookman Old Style"/>
                      <w:sz w:val="18"/>
                      <w:szCs w:val="18"/>
                    </w:rPr>
                  </w:pPr>
                  <w:r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Figura 1.1</w:t>
                  </w:r>
                  <w:r w:rsidRPr="00DD380E"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.</w:t>
                  </w:r>
                  <w:r w:rsidRPr="00DD380E">
                    <w:rPr>
                      <w:rFonts w:ascii="Bookman Old Style" w:hAnsi="Bookman Old Style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8"/>
                      <w:szCs w:val="18"/>
                    </w:rPr>
                    <w:t>Organigrama  del Instituto Tecnológico de Gustavo A. Madero</w:t>
                  </w:r>
                </w:p>
                <w:p w:rsidR="00CD37E0" w:rsidRDefault="00CD37E0" w:rsidP="00CD37E0"/>
              </w:txbxContent>
            </v:textbox>
          </v:shape>
        </w:pict>
      </w:r>
      <w:r w:rsidR="00DD272B">
        <w:rPr>
          <w:rFonts w:ascii="Bookman Old Style" w:hAnsi="Bookman Old Style"/>
          <w:noProof/>
          <w:sz w:val="26"/>
          <w:szCs w:val="26"/>
          <w:lang w:eastAsia="es-MX"/>
        </w:rPr>
        <w:drawing>
          <wp:inline distT="0" distB="0" distL="0" distR="0">
            <wp:extent cx="8281319" cy="3420186"/>
            <wp:effectExtent l="19050" t="19050" r="24481" b="27864"/>
            <wp:docPr id="10" name="9 Imagen" descr="Org. ITG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. ITG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5145" cy="342589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2159D" w:rsidRDefault="00CB725C" w:rsidP="00CB725C">
      <w:pPr>
        <w:pStyle w:val="Ttulo2"/>
        <w:spacing w:after="240"/>
        <w:rPr>
          <w:rFonts w:ascii="Bookman Old Style" w:hAnsi="Bookman Old Style"/>
          <w:sz w:val="28"/>
          <w:szCs w:val="28"/>
        </w:rPr>
      </w:pPr>
      <w:r w:rsidRPr="00CB725C">
        <w:rPr>
          <w:rFonts w:ascii="Bookman Old Style" w:hAnsi="Bookman Old Style"/>
          <w:sz w:val="28"/>
          <w:szCs w:val="28"/>
        </w:rPr>
        <w:t>1.1.4. Ubicación del ITGAM</w:t>
      </w:r>
    </w:p>
    <w:p w:rsidR="00CB725C" w:rsidRDefault="00B26971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26971">
        <w:rPr>
          <w:rFonts w:ascii="Bookman Old Style" w:hAnsi="Bookman Old Style"/>
          <w:sz w:val="26"/>
          <w:szCs w:val="26"/>
        </w:rPr>
        <w:t>El ITGAM se encuentra ubicado en Avenida 608 y Avenida 412 N° 300, Colonia San Juan de Aragón IV Sec, Delegación Gustavo A. Madero, C. P. 07470 en la Ciudad de México, D.F.</w:t>
      </w:r>
    </w:p>
    <w:p w:rsidR="00B34627" w:rsidRDefault="00B34627" w:rsidP="00B26971">
      <w:pPr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noProof/>
          <w:sz w:val="26"/>
          <w:szCs w:val="26"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370150</wp:posOffset>
            </wp:positionH>
            <wp:positionV relativeFrom="paragraph">
              <wp:posOffset>194421</wp:posOffset>
            </wp:positionV>
            <wp:extent cx="5016693" cy="2544169"/>
            <wp:effectExtent l="19050" t="19050" r="12507" b="27581"/>
            <wp:wrapNone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693" cy="25441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6971" w:rsidRDefault="00B26971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DD380E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DD380E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DD380E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DD380E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DD380E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DD380E" w:rsidP="00B26971">
      <w:pPr>
        <w:jc w:val="both"/>
        <w:rPr>
          <w:rFonts w:ascii="Bookman Old Style" w:hAnsi="Bookman Old Style"/>
          <w:noProof/>
          <w:sz w:val="26"/>
          <w:szCs w:val="26"/>
          <w:lang w:eastAsia="es-MX"/>
        </w:rPr>
      </w:pPr>
    </w:p>
    <w:p w:rsidR="00DD380E" w:rsidRDefault="00B866FB" w:rsidP="00B26971">
      <w:pPr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noProof/>
          <w:sz w:val="26"/>
          <w:szCs w:val="26"/>
          <w:lang w:eastAsia="es-MX"/>
        </w:rPr>
        <w:pict>
          <v:shape id="_x0000_s1026" type="#_x0000_t202" style="position:absolute;left:0;text-align:left;margin-left:30.9pt;margin-top:.7pt;width:393.65pt;height:21.5pt;z-index:251659264" filled="f" stroked="f">
            <v:textbox>
              <w:txbxContent>
                <w:p w:rsidR="00DD380E" w:rsidRPr="00DD380E" w:rsidRDefault="00CD37E0" w:rsidP="00DD380E">
                  <w:pPr>
                    <w:jc w:val="center"/>
                    <w:rPr>
                      <w:rFonts w:ascii="Bookman Old Style" w:hAnsi="Bookman Old Style"/>
                      <w:sz w:val="18"/>
                      <w:szCs w:val="18"/>
                    </w:rPr>
                  </w:pPr>
                  <w:r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Figura 1.2</w:t>
                  </w:r>
                  <w:r w:rsidR="00DD380E" w:rsidRPr="00DD380E"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.</w:t>
                  </w:r>
                  <w:r w:rsidR="00DD380E" w:rsidRPr="00DD380E">
                    <w:rPr>
                      <w:rFonts w:ascii="Bookman Old Style" w:hAnsi="Bookman Old Style"/>
                      <w:sz w:val="18"/>
                      <w:szCs w:val="18"/>
                    </w:rPr>
                    <w:t xml:space="preserve"> Ubicación del ITGAM vista desde Google Maps</w:t>
                  </w:r>
                </w:p>
                <w:p w:rsidR="00DD380E" w:rsidRDefault="00DD380E"/>
              </w:txbxContent>
            </v:textbox>
          </v:shape>
        </w:pict>
      </w:r>
    </w:p>
    <w:p w:rsidR="00DD380E" w:rsidRDefault="00DD380E" w:rsidP="00B26971">
      <w:pPr>
        <w:jc w:val="both"/>
        <w:rPr>
          <w:rFonts w:ascii="Bookman Old Style" w:hAnsi="Bookman Old Style"/>
          <w:sz w:val="26"/>
          <w:szCs w:val="26"/>
        </w:rPr>
      </w:pPr>
    </w:p>
    <w:p w:rsidR="00DD380E" w:rsidRDefault="00B34627" w:rsidP="00B26971">
      <w:pPr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noProof/>
          <w:sz w:val="26"/>
          <w:szCs w:val="26"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367665</wp:posOffset>
            </wp:positionH>
            <wp:positionV relativeFrom="paragraph">
              <wp:posOffset>110490</wp:posOffset>
            </wp:positionV>
            <wp:extent cx="4934585" cy="2539365"/>
            <wp:effectExtent l="19050" t="19050" r="18415" b="13335"/>
            <wp:wrapNone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539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380E" w:rsidRDefault="00DD380E" w:rsidP="00B26971">
      <w:pPr>
        <w:jc w:val="both"/>
        <w:rPr>
          <w:rFonts w:ascii="Bookman Old Style" w:hAnsi="Bookman Old Style"/>
          <w:sz w:val="26"/>
          <w:szCs w:val="26"/>
        </w:rPr>
      </w:pPr>
    </w:p>
    <w:p w:rsidR="00DD380E" w:rsidRDefault="00DD380E" w:rsidP="00B26971">
      <w:pPr>
        <w:jc w:val="both"/>
        <w:rPr>
          <w:rFonts w:ascii="Bookman Old Style" w:hAnsi="Bookman Old Style"/>
          <w:sz w:val="26"/>
          <w:szCs w:val="26"/>
        </w:rPr>
      </w:pPr>
    </w:p>
    <w:p w:rsidR="00B26971" w:rsidRDefault="00B26971" w:rsidP="00CB725C">
      <w:pPr>
        <w:rPr>
          <w:rFonts w:ascii="Bookman Old Style" w:hAnsi="Bookman Old Style"/>
          <w:sz w:val="26"/>
          <w:szCs w:val="26"/>
        </w:rPr>
      </w:pPr>
    </w:p>
    <w:p w:rsidR="00B34627" w:rsidRPr="00CB725C" w:rsidRDefault="00B34627" w:rsidP="00CB725C">
      <w:pPr>
        <w:rPr>
          <w:rFonts w:ascii="Bookman Old Style" w:hAnsi="Bookman Old Style"/>
          <w:sz w:val="26"/>
          <w:szCs w:val="26"/>
        </w:rPr>
      </w:pPr>
    </w:p>
    <w:p w:rsidR="00B26971" w:rsidRDefault="00B866FB">
      <w:pPr>
        <w:rPr>
          <w:rFonts w:ascii="Bookman Old Style" w:eastAsiaTheme="majorEastAsia" w:hAnsi="Bookman Old Style" w:cstheme="majorBidi"/>
          <w:b/>
          <w:bCs/>
          <w:color w:val="4F81BD" w:themeColor="accent1"/>
          <w:sz w:val="28"/>
          <w:szCs w:val="28"/>
        </w:rPr>
      </w:pPr>
      <w:r w:rsidRPr="00B866FB">
        <w:rPr>
          <w:rFonts w:ascii="Bookman Old Style" w:hAnsi="Bookman Old Style"/>
          <w:noProof/>
          <w:sz w:val="26"/>
          <w:szCs w:val="26"/>
          <w:lang w:eastAsia="es-MX"/>
        </w:rPr>
        <w:pict>
          <v:shape id="_x0000_s1027" type="#_x0000_t202" style="position:absolute;margin-left:30.9pt;margin-top:72.5pt;width:393.65pt;height:21.5pt;z-index:251660288" filled="f" stroked="f">
            <v:textbox>
              <w:txbxContent>
                <w:p w:rsidR="00A06775" w:rsidRPr="00DD380E" w:rsidRDefault="00A06775" w:rsidP="00A06775">
                  <w:pPr>
                    <w:jc w:val="center"/>
                    <w:rPr>
                      <w:rFonts w:ascii="Bookman Old Style" w:hAnsi="Bookman Old Style"/>
                      <w:sz w:val="18"/>
                      <w:szCs w:val="18"/>
                    </w:rPr>
                  </w:pPr>
                  <w:r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Figura 1.</w:t>
                  </w:r>
                  <w:r w:rsidR="00CD37E0"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3</w:t>
                  </w:r>
                  <w:r w:rsidRPr="00DD380E"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.</w:t>
                  </w:r>
                  <w:r w:rsidRPr="00DD380E">
                    <w:rPr>
                      <w:rFonts w:ascii="Bookman Old Style" w:hAnsi="Bookman Old Style"/>
                      <w:sz w:val="18"/>
                      <w:szCs w:val="18"/>
                    </w:rPr>
                    <w:t xml:space="preserve"> </w:t>
                  </w:r>
                  <w:r w:rsidRPr="00A06775">
                    <w:rPr>
                      <w:rFonts w:ascii="Bookman Old Style" w:hAnsi="Bookman Old Style"/>
                      <w:sz w:val="18"/>
                      <w:szCs w:val="18"/>
                    </w:rPr>
                    <w:t>Ubicación del ITGAM vista desde Google Maps vía Satelite.</w:t>
                  </w:r>
                </w:p>
                <w:p w:rsidR="00A06775" w:rsidRDefault="00A06775" w:rsidP="00A06775"/>
              </w:txbxContent>
            </v:textbox>
          </v:shape>
        </w:pict>
      </w:r>
      <w:r w:rsidR="00B26971">
        <w:rPr>
          <w:rFonts w:ascii="Bookman Old Style" w:hAnsi="Bookman Old Style"/>
          <w:sz w:val="28"/>
          <w:szCs w:val="28"/>
        </w:rPr>
        <w:br w:type="page"/>
      </w:r>
    </w:p>
    <w:p w:rsidR="00CB725C" w:rsidRPr="00B26971" w:rsidRDefault="00CB725C" w:rsidP="00B26971">
      <w:pPr>
        <w:pStyle w:val="Ttulo2"/>
        <w:spacing w:after="240"/>
        <w:rPr>
          <w:rFonts w:ascii="Bookman Old Style" w:hAnsi="Bookman Old Style"/>
          <w:sz w:val="28"/>
          <w:szCs w:val="28"/>
        </w:rPr>
      </w:pPr>
      <w:r w:rsidRPr="00B26971">
        <w:rPr>
          <w:rFonts w:ascii="Bookman Old Style" w:hAnsi="Bookman Old Style"/>
          <w:sz w:val="28"/>
          <w:szCs w:val="28"/>
        </w:rPr>
        <w:t>1.1.5. Información del área</w:t>
      </w:r>
    </w:p>
    <w:p w:rsidR="00B26971" w:rsidRDefault="00B866FB" w:rsidP="00CD37E0">
      <w:pPr>
        <w:jc w:val="center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noProof/>
          <w:sz w:val="26"/>
          <w:szCs w:val="26"/>
          <w:lang w:eastAsia="es-MX"/>
        </w:rPr>
        <w:pict>
          <v:shape id="_x0000_s1029" type="#_x0000_t202" style="position:absolute;left:0;text-align:left;margin-left:52.4pt;margin-top:206.5pt;width:363.75pt;height:21.5pt;z-index:251663360" filled="f" stroked="f">
            <v:textbox>
              <w:txbxContent>
                <w:p w:rsidR="00CD37E0" w:rsidRDefault="00CD37E0" w:rsidP="00CD37E0">
                  <w:pPr>
                    <w:jc w:val="center"/>
                  </w:pPr>
                  <w:r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Figura 1.4</w:t>
                  </w:r>
                  <w:r w:rsidRPr="00DD380E">
                    <w:rPr>
                      <w:rFonts w:ascii="Bookman Old Style" w:hAnsi="Bookman Old Style"/>
                      <w:b/>
                      <w:sz w:val="18"/>
                      <w:szCs w:val="18"/>
                    </w:rPr>
                    <w:t>.</w:t>
                  </w:r>
                  <w:r w:rsidRPr="00DD380E">
                    <w:rPr>
                      <w:rFonts w:ascii="Bookman Old Style" w:hAnsi="Bookman Old Style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8"/>
                      <w:szCs w:val="18"/>
                    </w:rPr>
                    <w:t>Organigrama  de la Subdirección de Servicios Administrativos</w:t>
                  </w:r>
                </w:p>
              </w:txbxContent>
            </v:textbox>
          </v:shape>
        </w:pict>
      </w:r>
      <w:r w:rsidR="00CD37E0">
        <w:rPr>
          <w:rFonts w:ascii="Bookman Old Style" w:hAnsi="Bookman Old Style"/>
          <w:noProof/>
          <w:sz w:val="26"/>
          <w:szCs w:val="26"/>
          <w:lang w:eastAsia="es-MX"/>
        </w:rPr>
        <w:drawing>
          <wp:inline distT="0" distB="0" distL="0" distR="0">
            <wp:extent cx="4564380" cy="2560320"/>
            <wp:effectExtent l="19050" t="19050" r="26670" b="11430"/>
            <wp:docPr id="11" name="10 Imagen" descr="DeptoITG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oITGA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6032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34627" w:rsidRDefault="00B34627" w:rsidP="00B26971">
      <w:pPr>
        <w:jc w:val="both"/>
        <w:rPr>
          <w:rFonts w:ascii="Bookman Old Style" w:hAnsi="Bookman Old Style"/>
          <w:sz w:val="26"/>
          <w:szCs w:val="26"/>
        </w:rPr>
      </w:pPr>
    </w:p>
    <w:p w:rsidR="00B34627" w:rsidRPr="00B34627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 xml:space="preserve">Subdirección de </w:t>
      </w:r>
      <w:r w:rsidRPr="00B34627">
        <w:rPr>
          <w:rFonts w:ascii="Bookman Old Style" w:hAnsi="Bookman Old Style"/>
          <w:i/>
          <w:sz w:val="26"/>
          <w:szCs w:val="26"/>
        </w:rPr>
        <w:t>Servicios Administrativos (SSA)</w:t>
      </w:r>
      <w:r w:rsidRPr="00B34627">
        <w:rPr>
          <w:rFonts w:ascii="Bookman Old Style" w:hAnsi="Bookman Old Style"/>
          <w:sz w:val="26"/>
          <w:szCs w:val="26"/>
        </w:rPr>
        <w:t xml:space="preserve"> a cargo del </w:t>
      </w:r>
      <w:r w:rsidRPr="00B34627">
        <w:rPr>
          <w:rFonts w:ascii="Bookman Old Style" w:hAnsi="Bookman Old Style"/>
          <w:i/>
          <w:sz w:val="26"/>
          <w:szCs w:val="26"/>
        </w:rPr>
        <w:t>L.I José Alejandro Acosta González</w:t>
      </w:r>
      <w:r w:rsidRPr="00B34627">
        <w:rPr>
          <w:rFonts w:ascii="Bookman Old Style" w:hAnsi="Bookman Old Style"/>
          <w:sz w:val="26"/>
          <w:szCs w:val="26"/>
        </w:rPr>
        <w:t xml:space="preserve"> es el departamento donde lleva a cabo las principales funciones de planear, organizar, coordinar, ejecutar y supervisar las actividades que desarrollan los departamentos que la integran, para que estos funcionen eficientemente buscando la mejora continua en sus procedimientos, para facilitar y agilizar el desempeño del desarrollo de las actividades que están dentro de su ámbito de competencia con el fin de obtener resultados y rendimiento óptimos de los recursos humanos, financieros, materiales y de telecomunicaciones, teniendo a cargo algunos departamentos que ofrecen servicios estudiantiles, al personal o al exterior.</w:t>
      </w:r>
    </w:p>
    <w:p w:rsidR="00B34627" w:rsidRPr="00B34627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t xml:space="preserve">El </w:t>
      </w:r>
      <w:r w:rsidRPr="00B34627">
        <w:rPr>
          <w:rFonts w:ascii="Bookman Old Style" w:hAnsi="Bookman Old Style"/>
          <w:i/>
          <w:sz w:val="26"/>
          <w:szCs w:val="26"/>
        </w:rPr>
        <w:t>Departamento de Recursos Materiales y Servicios (DRMS)</w:t>
      </w:r>
      <w:r w:rsidRPr="00B34627">
        <w:rPr>
          <w:rFonts w:ascii="Bookman Old Style" w:hAnsi="Bookman Old Style"/>
          <w:sz w:val="26"/>
          <w:szCs w:val="26"/>
        </w:rPr>
        <w:t xml:space="preserve"> a cargo del </w:t>
      </w:r>
      <w:r w:rsidRPr="00B34627">
        <w:rPr>
          <w:rFonts w:ascii="Bookman Old Style" w:hAnsi="Bookman Old Style"/>
          <w:i/>
          <w:sz w:val="26"/>
          <w:szCs w:val="26"/>
        </w:rPr>
        <w:t>Lic. Nemorio Ortega Hernández</w:t>
      </w:r>
      <w:r w:rsidRPr="00B34627">
        <w:rPr>
          <w:rFonts w:ascii="Bookman Old Style" w:hAnsi="Bookman Old Style"/>
          <w:sz w:val="26"/>
          <w:szCs w:val="26"/>
        </w:rPr>
        <w:t xml:space="preserve">, el cual tiene la misión de gestionar con oportunidad, eficacia, eficiencia, transparencia, calidad y economía los insumos y servicios requeridos por las diferentes áreas del Instituto, velar por la conservación de las instalaciones, de los bienes muebles e inmuebles, en un marco de legalidad y en apego a criterios de transparencia, honestidad y profesionalismo, contribuyendo así al logro de los objetivos Institucionales. </w:t>
      </w:r>
    </w:p>
    <w:p w:rsidR="00B34627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 xml:space="preserve">Dentro de las funciones del DRMS se encarga de planear, coordinar, controlar y evaluar las actividades relacionadas con la administración de los recursos materiales, específicamente le corresponde atender las solicitudes, recepción, distribución y manejo de los recursos materiales y bienes de consumo básico, necesarios para la operación de todas y cada una de las áreas que conforman el Instituto. </w:t>
      </w:r>
    </w:p>
    <w:p w:rsidR="00B34627" w:rsidRPr="00B34627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 xml:space="preserve"> Así mismo es su responsabilidad elaborar y ejecutar el programa de mantenimiento preventivo y correctivo de bienes muebles e inmuebles, además de llevar a cabo la actualización de los registros de las altas y bajas de los inventarios.</w:t>
      </w:r>
    </w:p>
    <w:p w:rsidR="00B34627" w:rsidRPr="00B34627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Por otra parte es su obligación cumplir las demás funciones en materia de recursos materiales señaladas en las Leyes Federales y Reglamentos de la Secretaría de Educación Pública y demás ordenamientos legales vigentes.</w:t>
      </w:r>
    </w:p>
    <w:p w:rsidR="00B34627" w:rsidRPr="00B34627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 xml:space="preserve">Una función primordial del DRMS es registrar todos los bienes con los que cuenta el ITGAM en el </w:t>
      </w:r>
      <w:r w:rsidRPr="00B34627">
        <w:rPr>
          <w:rFonts w:ascii="Bookman Old Style" w:hAnsi="Bookman Old Style"/>
          <w:i/>
          <w:sz w:val="26"/>
          <w:szCs w:val="26"/>
        </w:rPr>
        <w:t>Sistema de Bienes de la Secretaría de Educación Pública (SIBI-SEP)</w:t>
      </w:r>
      <w:r w:rsidRPr="00B34627">
        <w:rPr>
          <w:rFonts w:ascii="Bookman Old Style" w:hAnsi="Bookman Old Style"/>
          <w:sz w:val="26"/>
          <w:szCs w:val="26"/>
        </w:rPr>
        <w:t xml:space="preserve"> el cual es un Sistema que nace con el propósito de dar cumplimiento a las necesidades de innovación tecnológica, por esta razón la </w:t>
      </w:r>
      <w:r w:rsidRPr="00B34627">
        <w:rPr>
          <w:rFonts w:ascii="Bookman Old Style" w:hAnsi="Bookman Old Style"/>
          <w:i/>
          <w:sz w:val="26"/>
          <w:szCs w:val="26"/>
        </w:rPr>
        <w:t>Dirección de Planeación de la DGRMyS</w:t>
      </w:r>
      <w:r w:rsidRPr="00B34627">
        <w:rPr>
          <w:rFonts w:ascii="Bookman Old Style" w:hAnsi="Bookman Old Style"/>
          <w:sz w:val="26"/>
          <w:szCs w:val="26"/>
        </w:rPr>
        <w:t xml:space="preserve"> a través de la Subdirección de Modernización y Sistematización, crean el sistema (SIBI-SEP), cuyo objetivo es sistematizar los procedimientos con los que operan las Unidades Administrativas, permitiendo de esta forma contar con una mejor administración y control de los bienes muebles.</w:t>
      </w:r>
    </w:p>
    <w:p w:rsidR="00CD37E0" w:rsidRDefault="00B34627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B34627">
        <w:rPr>
          <w:rFonts w:ascii="Bookman Old Style" w:hAnsi="Bookman Old Style"/>
          <w:sz w:val="26"/>
          <w:szCs w:val="26"/>
        </w:rPr>
        <w:t>Con la infraestructura necesaria de Internet el sistema permite la operación desde los propios planteles educativos para que puedan llevar a cabo el registro de las solicitudes de Alta, Baja y Cambios de Adscripción del Inventario (Con toda la debida supervisión y aprobación de su Coordinación Administrativa).</w:t>
      </w:r>
    </w:p>
    <w:p w:rsidR="00CD37E0" w:rsidRDefault="00CD37E0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br w:type="page"/>
      </w:r>
    </w:p>
    <w:p w:rsidR="00B34627" w:rsidRPr="00B34627" w:rsidRDefault="00B34627" w:rsidP="00B34627">
      <w:pPr>
        <w:pStyle w:val="Ttulo2"/>
        <w:rPr>
          <w:rFonts w:ascii="Bookman Old Style" w:hAnsi="Bookman Old Style"/>
          <w:sz w:val="32"/>
          <w:szCs w:val="32"/>
        </w:rPr>
      </w:pPr>
      <w:r w:rsidRPr="00B34627">
        <w:rPr>
          <w:rFonts w:ascii="Bookman Old Style" w:hAnsi="Bookman Old Style"/>
          <w:sz w:val="32"/>
          <w:szCs w:val="32"/>
        </w:rPr>
        <w:t>1.2. Problemática</w:t>
      </w:r>
    </w:p>
    <w:p w:rsidR="00B34627" w:rsidRDefault="0086708E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En ITGAM dentro del Área de Subdirección De Servicios Administrativos no cuenta con la debida administración de los bloques a mencionar:</w:t>
      </w:r>
    </w:p>
    <w:p w:rsidR="0086708E" w:rsidRDefault="0086708E" w:rsidP="00B34627">
      <w:pPr>
        <w:jc w:val="both"/>
        <w:rPr>
          <w:rFonts w:ascii="Bookman Old Style" w:hAnsi="Bookman Old Style"/>
          <w:sz w:val="26"/>
          <w:szCs w:val="26"/>
        </w:rPr>
      </w:pPr>
    </w:p>
    <w:p w:rsidR="00B34627" w:rsidRPr="00B34627" w:rsidRDefault="00B34627" w:rsidP="00B34627">
      <w:pPr>
        <w:pStyle w:val="Ttulo2"/>
        <w:rPr>
          <w:rFonts w:ascii="Bookman Old Style" w:hAnsi="Bookman Old Style"/>
          <w:sz w:val="28"/>
          <w:szCs w:val="28"/>
        </w:rPr>
      </w:pPr>
      <w:r w:rsidRPr="00B34627">
        <w:rPr>
          <w:rFonts w:ascii="Bookman Old Style" w:hAnsi="Bookman Old Style"/>
          <w:sz w:val="28"/>
          <w:szCs w:val="28"/>
        </w:rPr>
        <w:t>1.2.1. Adquisición</w:t>
      </w:r>
    </w:p>
    <w:p w:rsidR="0086708E" w:rsidRPr="0086708E" w:rsidRDefault="0086708E" w:rsidP="0086708E">
      <w:pPr>
        <w:pStyle w:val="Prrafodelista"/>
        <w:numPr>
          <w:ilvl w:val="0"/>
          <w:numId w:val="8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De los bienes que se encuentran en el ITGAM no se cuenta con una clasificación ni una documentación de cómo fueron adquiridos.</w:t>
      </w:r>
    </w:p>
    <w:p w:rsidR="0086708E" w:rsidRPr="0086708E" w:rsidRDefault="0086708E" w:rsidP="0086708E">
      <w:pPr>
        <w:pStyle w:val="Prrafodelista"/>
        <w:numPr>
          <w:ilvl w:val="0"/>
          <w:numId w:val="8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Existen bienes que no se encuentran asignados a la partida presupuestal.</w:t>
      </w:r>
    </w:p>
    <w:p w:rsidR="00B34627" w:rsidRPr="0086708E" w:rsidRDefault="0086708E" w:rsidP="0086708E">
      <w:pPr>
        <w:pStyle w:val="Prrafodelista"/>
        <w:numPr>
          <w:ilvl w:val="0"/>
          <w:numId w:val="8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Al momento de realizar la compra de un bien, se adquiere una garantía la cual se pierde, ya que no existe un mecanismo que controle la información.</w:t>
      </w:r>
    </w:p>
    <w:p w:rsidR="00B34627" w:rsidRDefault="00B34627" w:rsidP="00B34627">
      <w:pPr>
        <w:jc w:val="both"/>
        <w:rPr>
          <w:rFonts w:ascii="Bookman Old Style" w:hAnsi="Bookman Old Style"/>
          <w:sz w:val="26"/>
          <w:szCs w:val="26"/>
        </w:rPr>
      </w:pPr>
    </w:p>
    <w:p w:rsidR="00B34627" w:rsidRPr="00B34627" w:rsidRDefault="00B34627" w:rsidP="00B34627">
      <w:pPr>
        <w:pStyle w:val="Ttulo2"/>
        <w:rPr>
          <w:rFonts w:ascii="Bookman Old Style" w:hAnsi="Bookman Old Style"/>
          <w:sz w:val="28"/>
          <w:szCs w:val="28"/>
        </w:rPr>
      </w:pPr>
      <w:r w:rsidRPr="00B34627">
        <w:rPr>
          <w:rFonts w:ascii="Bookman Old Style" w:hAnsi="Bookman Old Style"/>
          <w:sz w:val="28"/>
          <w:szCs w:val="28"/>
        </w:rPr>
        <w:t>1.2.2. Resguardos</w:t>
      </w:r>
    </w:p>
    <w:p w:rsidR="0086708E" w:rsidRPr="0086708E" w:rsidRDefault="0086708E" w:rsidP="0086708E">
      <w:pPr>
        <w:pStyle w:val="Prrafodelista"/>
        <w:numPr>
          <w:ilvl w:val="0"/>
          <w:numId w:val="7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Existen bienes cargados a personas que ya no se encuentran en el área o institución.</w:t>
      </w:r>
    </w:p>
    <w:p w:rsidR="0086708E" w:rsidRPr="0086708E" w:rsidRDefault="0086708E" w:rsidP="0086708E">
      <w:pPr>
        <w:pStyle w:val="Prrafodelista"/>
        <w:numPr>
          <w:ilvl w:val="0"/>
          <w:numId w:val="7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Los resguardos no se encuentran actualizados en cuanto a bienes.</w:t>
      </w:r>
    </w:p>
    <w:p w:rsidR="00B34627" w:rsidRPr="0086708E" w:rsidRDefault="0086708E" w:rsidP="0086708E">
      <w:pPr>
        <w:pStyle w:val="Prrafodelista"/>
        <w:numPr>
          <w:ilvl w:val="0"/>
          <w:numId w:val="7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Al momento de dar de baja a un empleado los bienes que se encontraban bajo su resguardo quedan en distintas áreas.</w:t>
      </w:r>
    </w:p>
    <w:p w:rsidR="00B34627" w:rsidRDefault="00B34627" w:rsidP="00B34627">
      <w:pPr>
        <w:jc w:val="both"/>
        <w:rPr>
          <w:rFonts w:ascii="Bookman Old Style" w:hAnsi="Bookman Old Style"/>
          <w:sz w:val="26"/>
          <w:szCs w:val="26"/>
        </w:rPr>
      </w:pPr>
    </w:p>
    <w:p w:rsidR="00B34627" w:rsidRPr="00B34627" w:rsidRDefault="00B34627" w:rsidP="00B34627">
      <w:pPr>
        <w:pStyle w:val="Ttulo2"/>
        <w:rPr>
          <w:rFonts w:ascii="Bookman Old Style" w:hAnsi="Bookman Old Style"/>
          <w:sz w:val="28"/>
          <w:szCs w:val="28"/>
        </w:rPr>
      </w:pPr>
      <w:r w:rsidRPr="00B34627">
        <w:rPr>
          <w:rFonts w:ascii="Bookman Old Style" w:hAnsi="Bookman Old Style"/>
          <w:sz w:val="28"/>
          <w:szCs w:val="28"/>
        </w:rPr>
        <w:t>1.2.3. Inventarios</w:t>
      </w:r>
    </w:p>
    <w:p w:rsidR="0086708E" w:rsidRPr="0086708E" w:rsidRDefault="0086708E" w:rsidP="0086708E">
      <w:pPr>
        <w:pStyle w:val="Prrafodelista"/>
        <w:numPr>
          <w:ilvl w:val="0"/>
          <w:numId w:val="6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No conocer lo bienes que pertenecen al ITGAM.</w:t>
      </w:r>
    </w:p>
    <w:p w:rsidR="0086708E" w:rsidRPr="0086708E" w:rsidRDefault="0086708E" w:rsidP="0086708E">
      <w:pPr>
        <w:pStyle w:val="Prrafodelista"/>
        <w:numPr>
          <w:ilvl w:val="0"/>
          <w:numId w:val="6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Los inventarios tardan mucho tiempo en ser realizados por qué la información se encuentra en Excel y no en un sistema.</w:t>
      </w:r>
    </w:p>
    <w:p w:rsidR="0086708E" w:rsidRPr="0086708E" w:rsidRDefault="0086708E" w:rsidP="0086708E">
      <w:pPr>
        <w:pStyle w:val="Prrafodelista"/>
        <w:numPr>
          <w:ilvl w:val="0"/>
          <w:numId w:val="6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Los bienes no cuentan con un número de inventario de manera visible, dificultando el proceso de inventarios.</w:t>
      </w:r>
    </w:p>
    <w:p w:rsidR="00CD37E0" w:rsidRDefault="00CD37E0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br w:type="page"/>
      </w:r>
    </w:p>
    <w:p w:rsidR="00B34627" w:rsidRPr="0086708E" w:rsidRDefault="0086708E" w:rsidP="0086708E">
      <w:pPr>
        <w:pStyle w:val="Prrafodelista"/>
        <w:numPr>
          <w:ilvl w:val="0"/>
          <w:numId w:val="6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Al momento de realizar el inventario se detectan bienes que no funcionan o que necesitan mantenimiento esto a causa de que no existe un catálogo con los bienes que necesitan mantenimiento continuo.</w:t>
      </w:r>
    </w:p>
    <w:p w:rsidR="00B34627" w:rsidRDefault="00B34627" w:rsidP="00B34627">
      <w:pPr>
        <w:jc w:val="both"/>
        <w:rPr>
          <w:rFonts w:ascii="Bookman Old Style" w:hAnsi="Bookman Old Style"/>
          <w:sz w:val="26"/>
          <w:szCs w:val="26"/>
        </w:rPr>
      </w:pPr>
    </w:p>
    <w:p w:rsidR="00B34627" w:rsidRPr="00B34627" w:rsidRDefault="00B34627" w:rsidP="00B34627">
      <w:pPr>
        <w:pStyle w:val="Ttulo2"/>
        <w:rPr>
          <w:rFonts w:ascii="Bookman Old Style" w:hAnsi="Bookman Old Style"/>
          <w:sz w:val="28"/>
          <w:szCs w:val="28"/>
        </w:rPr>
      </w:pPr>
      <w:r w:rsidRPr="00B34627">
        <w:rPr>
          <w:rFonts w:ascii="Bookman Old Style" w:hAnsi="Bookman Old Style"/>
          <w:sz w:val="28"/>
          <w:szCs w:val="28"/>
        </w:rPr>
        <w:t>1.2.4. SIBI-SEP</w:t>
      </w:r>
    </w:p>
    <w:p w:rsidR="0086708E" w:rsidRPr="0086708E" w:rsidRDefault="0086708E" w:rsidP="0086708E">
      <w:pPr>
        <w:pStyle w:val="Prrafodelista"/>
        <w:numPr>
          <w:ilvl w:val="0"/>
          <w:numId w:val="5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La información de los bienes registrados en el SIBI-SEP no coincide con los bienes existentes en el instituto.</w:t>
      </w:r>
    </w:p>
    <w:p w:rsidR="00B34627" w:rsidRPr="0086708E" w:rsidRDefault="0086708E" w:rsidP="0086708E">
      <w:pPr>
        <w:pStyle w:val="Prrafodelista"/>
        <w:numPr>
          <w:ilvl w:val="0"/>
          <w:numId w:val="5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Los bienes no cuentan con el número de registro que SIBI-SEP otorga.</w:t>
      </w:r>
    </w:p>
    <w:p w:rsidR="00B34627" w:rsidRDefault="00B34627" w:rsidP="00B34627">
      <w:pPr>
        <w:jc w:val="both"/>
        <w:rPr>
          <w:rFonts w:ascii="Bookman Old Style" w:hAnsi="Bookman Old Style"/>
          <w:sz w:val="26"/>
          <w:szCs w:val="26"/>
        </w:rPr>
      </w:pPr>
    </w:p>
    <w:p w:rsidR="00B34627" w:rsidRPr="00B34627" w:rsidRDefault="00B34627" w:rsidP="00B34627">
      <w:pPr>
        <w:pStyle w:val="Ttulo2"/>
        <w:rPr>
          <w:rFonts w:ascii="Bookman Old Style" w:hAnsi="Bookman Old Style"/>
          <w:sz w:val="28"/>
          <w:szCs w:val="28"/>
        </w:rPr>
      </w:pPr>
      <w:r w:rsidRPr="00B34627">
        <w:rPr>
          <w:rFonts w:ascii="Bookman Old Style" w:hAnsi="Bookman Old Style"/>
          <w:sz w:val="28"/>
          <w:szCs w:val="28"/>
        </w:rPr>
        <w:t>1.2.5. Documentación</w:t>
      </w:r>
    </w:p>
    <w:p w:rsidR="0086708E" w:rsidRPr="0086708E" w:rsidRDefault="0086708E" w:rsidP="0086708E">
      <w:pPr>
        <w:pStyle w:val="Prrafodelista"/>
        <w:numPr>
          <w:ilvl w:val="0"/>
          <w:numId w:val="4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No se tiene la documentación que respalde la adquisición de bienes donados.</w:t>
      </w:r>
    </w:p>
    <w:p w:rsidR="0086708E" w:rsidRPr="0086708E" w:rsidRDefault="0086708E" w:rsidP="0086708E">
      <w:pPr>
        <w:pStyle w:val="Prrafodelista"/>
        <w:numPr>
          <w:ilvl w:val="0"/>
          <w:numId w:val="4"/>
        </w:numPr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No se encuentra soportada la documentación de las compras de bienes.</w:t>
      </w:r>
    </w:p>
    <w:p w:rsidR="00B26971" w:rsidRDefault="0086708E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Actualmente el ITGAM no cuenta con un sistema que le permita realizar los inventarios y conocer los bienes adquiridos causando que no se cumplan con los procedimientos ante la dirección general de recursos materiales y servicios de la SEP, esto puede traer como conflicto la perdida de bienes adquiridos con recursos federales y sanciones al ITGAM.</w:t>
      </w:r>
    </w:p>
    <w:p w:rsidR="0086708E" w:rsidRDefault="0086708E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br w:type="page"/>
      </w:r>
    </w:p>
    <w:p w:rsidR="0086708E" w:rsidRPr="0086708E" w:rsidRDefault="0086708E" w:rsidP="0086708E">
      <w:pPr>
        <w:pStyle w:val="Ttulo2"/>
        <w:rPr>
          <w:rFonts w:ascii="Bookman Old Style" w:hAnsi="Bookman Old Style"/>
          <w:sz w:val="32"/>
          <w:szCs w:val="32"/>
        </w:rPr>
      </w:pPr>
      <w:r w:rsidRPr="0086708E">
        <w:rPr>
          <w:rFonts w:ascii="Bookman Old Style" w:hAnsi="Bookman Old Style"/>
          <w:sz w:val="32"/>
          <w:szCs w:val="32"/>
        </w:rPr>
        <w:t>1.3. Objetivos</w:t>
      </w:r>
    </w:p>
    <w:p w:rsidR="0086708E" w:rsidRP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1.3.1. Objetivo General</w:t>
      </w:r>
    </w:p>
    <w:p w:rsidR="0086708E" w:rsidRDefault="0086708E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86708E">
        <w:rPr>
          <w:rFonts w:ascii="Bookman Old Style" w:hAnsi="Bookman Old Style"/>
          <w:sz w:val="26"/>
          <w:szCs w:val="26"/>
        </w:rPr>
        <w:t>Desarrollar un sistema</w:t>
      </w:r>
      <w:r w:rsidR="00DD272B">
        <w:rPr>
          <w:rFonts w:ascii="Bookman Old Style" w:hAnsi="Bookman Old Style"/>
          <w:sz w:val="26"/>
          <w:szCs w:val="26"/>
        </w:rPr>
        <w:t xml:space="preserve"> vía web que permita</w:t>
      </w:r>
      <w:r w:rsidRPr="0086708E">
        <w:rPr>
          <w:rFonts w:ascii="Bookman Old Style" w:hAnsi="Bookman Old Style"/>
          <w:sz w:val="26"/>
          <w:szCs w:val="26"/>
        </w:rPr>
        <w:t xml:space="preserve"> controlar y administrar los inventarios, bienes y resguardos de una manera automati</w:t>
      </w:r>
      <w:r w:rsidR="00DD272B">
        <w:rPr>
          <w:rFonts w:ascii="Bookman Old Style" w:hAnsi="Bookman Old Style"/>
          <w:sz w:val="26"/>
          <w:szCs w:val="26"/>
        </w:rPr>
        <w:t>zada, reduciendo tiempo y dando transparencia a la información, permitiendo</w:t>
      </w:r>
      <w:r w:rsidRPr="0086708E">
        <w:rPr>
          <w:rFonts w:ascii="Bookman Old Style" w:hAnsi="Bookman Old Style"/>
          <w:sz w:val="26"/>
          <w:szCs w:val="26"/>
        </w:rPr>
        <w:t xml:space="preserve"> mantener actualizado el inventario</w:t>
      </w:r>
      <w:r w:rsidR="00DD272B">
        <w:rPr>
          <w:rFonts w:ascii="Bookman Old Style" w:hAnsi="Bookman Old Style"/>
          <w:sz w:val="26"/>
          <w:szCs w:val="26"/>
        </w:rPr>
        <w:t xml:space="preserve"> del ITGAM.</w:t>
      </w:r>
    </w:p>
    <w:p w:rsidR="0086708E" w:rsidRDefault="0086708E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</w:p>
    <w:p w:rsidR="0086708E" w:rsidRP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1.3.2. Objetivos Específicos</w:t>
      </w:r>
    </w:p>
    <w:p w:rsid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1.3.2.1. Adquisición</w:t>
      </w:r>
    </w:p>
    <w:p w:rsidR="00DD272B" w:rsidRPr="00DD272B" w:rsidRDefault="00DD272B" w:rsidP="00DD272B">
      <w:pPr>
        <w:pStyle w:val="Prrafodelista"/>
        <w:numPr>
          <w:ilvl w:val="0"/>
          <w:numId w:val="10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Contar con el registro de los bienes de acuerdo a su tipo de adquisición contando con el soporte de la misma.</w:t>
      </w:r>
    </w:p>
    <w:p w:rsidR="00DD272B" w:rsidRPr="00DD272B" w:rsidRDefault="00DD272B" w:rsidP="00DD272B">
      <w:pPr>
        <w:pStyle w:val="Prrafodelista"/>
        <w:numPr>
          <w:ilvl w:val="0"/>
          <w:numId w:val="10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Mediante el inventario hacer la clasificación de bienes conforme a los lineamientos de catálogo de partida presupuestal.</w:t>
      </w:r>
    </w:p>
    <w:p w:rsidR="00DD272B" w:rsidRPr="00DD272B" w:rsidRDefault="00DD272B" w:rsidP="00DD272B">
      <w:pPr>
        <w:pStyle w:val="Prrafodelista"/>
        <w:numPr>
          <w:ilvl w:val="0"/>
          <w:numId w:val="10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Contar con la factura digitalizada para hacer válidas las garantías de los bienes que aun cuentan con validez.</w:t>
      </w:r>
    </w:p>
    <w:p w:rsidR="00DD272B" w:rsidRPr="00DD272B" w:rsidRDefault="00DD272B" w:rsidP="00DD272B"/>
    <w:p w:rsidR="0086708E" w:rsidRP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1.3.2.2. Resguardos</w:t>
      </w:r>
    </w:p>
    <w:p w:rsidR="00DD272B" w:rsidRPr="00DD272B" w:rsidRDefault="00DD272B" w:rsidP="00DD272B">
      <w:pPr>
        <w:pStyle w:val="Prrafodelista"/>
        <w:numPr>
          <w:ilvl w:val="0"/>
          <w:numId w:val="11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Creación de sección para la gestión de resguardos de cada área, persona o departamento.</w:t>
      </w:r>
    </w:p>
    <w:p w:rsidR="00DD272B" w:rsidRPr="00DD272B" w:rsidRDefault="00DD272B" w:rsidP="00DD272B">
      <w:pPr>
        <w:pStyle w:val="Prrafodelista"/>
        <w:numPr>
          <w:ilvl w:val="0"/>
          <w:numId w:val="11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Que el sistema cuente con la actualización constante de información de resguardos de los bienes.</w:t>
      </w:r>
    </w:p>
    <w:p w:rsidR="00DD272B" w:rsidRPr="00DD272B" w:rsidRDefault="00DD272B" w:rsidP="00DD272B">
      <w:pPr>
        <w:pStyle w:val="Prrafodelista"/>
        <w:numPr>
          <w:ilvl w:val="0"/>
          <w:numId w:val="11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Asignar y realizar eliminación de resguardos.</w:t>
      </w:r>
    </w:p>
    <w:p w:rsidR="00DD272B" w:rsidRDefault="00DD272B">
      <w:pPr>
        <w:rPr>
          <w:rFonts w:ascii="Bookman Old Style" w:eastAsiaTheme="majorEastAsia" w:hAnsi="Bookman Old Style" w:cstheme="majorBidi"/>
          <w:b/>
          <w:bCs/>
          <w:color w:val="4F81BD" w:themeColor="accent1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:rsid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1.3.2.3. Inventarios</w:t>
      </w:r>
    </w:p>
    <w:p w:rsidR="00DD272B" w:rsidRPr="00DD272B" w:rsidRDefault="00DD272B" w:rsidP="00DD272B">
      <w:pPr>
        <w:pStyle w:val="Prrafodelista"/>
        <w:numPr>
          <w:ilvl w:val="0"/>
          <w:numId w:val="12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Crear un inventario de los bienes pertenecientes al ITGAM.</w:t>
      </w:r>
    </w:p>
    <w:p w:rsidR="00DD272B" w:rsidRPr="00DD272B" w:rsidRDefault="00DD272B" w:rsidP="00DD272B">
      <w:pPr>
        <w:pStyle w:val="Prrafodelista"/>
        <w:numPr>
          <w:ilvl w:val="0"/>
          <w:numId w:val="12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Modulo que permita planificar y realizar los inventarios en un tiempo corto y que la información sea integra. (Modificación constante de la información de los bienes).</w:t>
      </w:r>
    </w:p>
    <w:p w:rsidR="00DD272B" w:rsidRPr="00DD272B" w:rsidRDefault="00DD272B" w:rsidP="00DD272B">
      <w:pPr>
        <w:pStyle w:val="Prrafodelista"/>
        <w:numPr>
          <w:ilvl w:val="0"/>
          <w:numId w:val="12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Modulo que permita Generar etiquetas con los números de inventario del instituto, del SIBISEP, el nombre del resguardante, área a la que pertenece y código de barras para en un futuro realizar inventario con lectora de códigos.</w:t>
      </w:r>
    </w:p>
    <w:p w:rsidR="00DD272B" w:rsidRPr="00DD272B" w:rsidRDefault="00DD272B" w:rsidP="00DD272B">
      <w:pPr>
        <w:pStyle w:val="Prrafodelista"/>
        <w:numPr>
          <w:ilvl w:val="0"/>
          <w:numId w:val="12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 xml:space="preserve">Modulo que permita realizar los cambios de los bienes que ya no se encuentran a disposición del resguardante y asignar el bien al nuevo resguardante. </w:t>
      </w:r>
    </w:p>
    <w:p w:rsidR="00DD272B" w:rsidRPr="00DD272B" w:rsidRDefault="00DD272B" w:rsidP="00DD272B">
      <w:pPr>
        <w:pStyle w:val="Prrafodelista"/>
        <w:numPr>
          <w:ilvl w:val="0"/>
          <w:numId w:val="12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En el proceso de inventarios, clasificar los bienes de manera que sepa la SSA los bienes que necesitan mantenimiento constante.</w:t>
      </w:r>
    </w:p>
    <w:p w:rsidR="00DD272B" w:rsidRPr="00DD272B" w:rsidRDefault="00DD272B" w:rsidP="00DD272B">
      <w:pPr>
        <w:pStyle w:val="Prrafodelista"/>
        <w:numPr>
          <w:ilvl w:val="0"/>
          <w:numId w:val="12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Contar con una opción en el sistema que me permita especificar si el bien necesita mantenimiento para ser contemplado el servicio de mantenimiento en el presupuesto anual.</w:t>
      </w:r>
    </w:p>
    <w:p w:rsidR="00DD272B" w:rsidRPr="00DD272B" w:rsidRDefault="00DD272B" w:rsidP="00DD272B"/>
    <w:p w:rsidR="0086708E" w:rsidRP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1.3.2.4. SIBI-SEP</w:t>
      </w:r>
    </w:p>
    <w:p w:rsidR="0086708E" w:rsidRPr="00DD272B" w:rsidRDefault="0086708E" w:rsidP="00DD272B">
      <w:pPr>
        <w:pStyle w:val="Prrafodelista"/>
        <w:numPr>
          <w:ilvl w:val="0"/>
          <w:numId w:val="13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 xml:space="preserve">Contar con un módulo que me permita localizar cuales son los bienes que adquirió el ITGAM y aun no se encuentran registrados ante el SIBISEP </w:t>
      </w:r>
    </w:p>
    <w:p w:rsidR="0086708E" w:rsidRPr="00DD272B" w:rsidRDefault="0086708E" w:rsidP="00DD272B">
      <w:pPr>
        <w:pStyle w:val="Prrafodelista"/>
        <w:numPr>
          <w:ilvl w:val="0"/>
          <w:numId w:val="13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Contar con un módulo que me permita conocer que bienes se encuentran registrados en el SIBISEP y en el instituto ya son donaciones a otras instituciones o bajas definitivas.</w:t>
      </w:r>
    </w:p>
    <w:p w:rsidR="0086708E" w:rsidRPr="00DD272B" w:rsidRDefault="0086708E" w:rsidP="00DD272B">
      <w:pPr>
        <w:pStyle w:val="Prrafodelista"/>
        <w:numPr>
          <w:ilvl w:val="0"/>
          <w:numId w:val="13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Contar con un módulo que permita actualizar los bienes del ITGAM para asignarles el número de inventario del SIBISEP.</w:t>
      </w:r>
    </w:p>
    <w:p w:rsidR="0086708E" w:rsidRDefault="0086708E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</w:p>
    <w:p w:rsidR="0086708E" w:rsidRPr="0086708E" w:rsidRDefault="0086708E" w:rsidP="0086708E">
      <w:pPr>
        <w:pStyle w:val="Ttulo2"/>
        <w:rPr>
          <w:rFonts w:ascii="Bookman Old Style" w:hAnsi="Bookman Old Style"/>
          <w:sz w:val="28"/>
          <w:szCs w:val="28"/>
        </w:rPr>
      </w:pPr>
      <w:r w:rsidRPr="0086708E">
        <w:rPr>
          <w:rFonts w:ascii="Bookman Old Style" w:hAnsi="Bookman Old Style"/>
          <w:sz w:val="28"/>
          <w:szCs w:val="28"/>
        </w:rPr>
        <w:t>1.3.2.5. Documentación</w:t>
      </w:r>
    </w:p>
    <w:p w:rsidR="0086708E" w:rsidRPr="00DD272B" w:rsidRDefault="0086708E" w:rsidP="00DD272B">
      <w:pPr>
        <w:pStyle w:val="Prrafodelista"/>
        <w:numPr>
          <w:ilvl w:val="0"/>
          <w:numId w:val="14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Modulo que permita digitalizar el documento con el cual fue donado el bien al ITGAM o viceversa.</w:t>
      </w:r>
    </w:p>
    <w:p w:rsidR="0086708E" w:rsidRPr="00DD272B" w:rsidRDefault="0086708E" w:rsidP="00DD272B">
      <w:pPr>
        <w:pStyle w:val="Prrafodelista"/>
        <w:numPr>
          <w:ilvl w:val="0"/>
          <w:numId w:val="14"/>
        </w:numPr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Modulo que permita conocer la documentación con la cual fue adquirido el bien.</w:t>
      </w:r>
    </w:p>
    <w:p w:rsid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</w:p>
    <w:p w:rsidR="00DD272B" w:rsidRPr="00DD272B" w:rsidRDefault="00DD272B" w:rsidP="00DD272B">
      <w:pPr>
        <w:pStyle w:val="Ttulo2"/>
        <w:rPr>
          <w:rFonts w:ascii="Bookman Old Style" w:hAnsi="Bookman Old Style"/>
          <w:sz w:val="32"/>
          <w:szCs w:val="32"/>
        </w:rPr>
      </w:pPr>
      <w:r w:rsidRPr="00DD272B">
        <w:rPr>
          <w:rFonts w:ascii="Bookman Old Style" w:hAnsi="Bookman Old Style"/>
          <w:sz w:val="32"/>
          <w:szCs w:val="32"/>
        </w:rPr>
        <w:t>1.4. Justificación</w:t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Con la implementación de este sistema se garantiza un adecuado control de las normas y procedimientos en la adquisición de bienes para el ITGAM causando beneficios primordialmente en las siguientes áreas:</w:t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En el proceso de adquisición todos los bienes que sean adquiridos por el ITGAM en ese momento deben de ser registrados en el sistema asignándoles el área al que van a pertenecer y el resguardante correspondiente, conocer según el catalogo clasificador del gasto a la partida presupuestal a la que pertenece dejando en claro la transparencia de la adquisición del bien.</w:t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Se garantiza que los bienes adquiridos por el ITGAM en la partida 5000 deberán contar con una persona resguardante y que cada resguardante contara con el documento oficial que acredita la responsabilidad del bien y la sanciones a las que se encontrara sometido, en caso de hacer mal uso del mismo, esto garantiza que el ITGAM no tendrá pérdida económica ni adquirirá bienes con los que ya cuente.</w:t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Se garantiza la localización y el estado actual de los bienes en el proceso de inventarios así como el listado de resguardos con firma tanto del jefe de Depto. De Recursos Materiales y de Servicios aceptando los bienes bajo su resguardo. Cabe mencionar que al finalizar cada inventario se deberá garantizar que todos los bienes contaran con la etiqueta del número de inventario interno o del SIBI-SEP.</w:t>
      </w:r>
    </w:p>
    <w:p w:rsidR="00DD272B" w:rsidRDefault="00DD272B">
      <w:pPr>
        <w:rPr>
          <w:rFonts w:ascii="Bookman Old Style" w:hAnsi="Bookman Old Style"/>
          <w:sz w:val="26"/>
          <w:szCs w:val="26"/>
        </w:rPr>
      </w:pPr>
      <w:r>
        <w:rPr>
          <w:rFonts w:ascii="Bookman Old Style" w:hAnsi="Bookman Old Style"/>
          <w:sz w:val="26"/>
          <w:szCs w:val="26"/>
        </w:rPr>
        <w:br w:type="page"/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Además se cumplirá con la norma establecida en la dirección general de recursos materiales y servicios que todos los bienes adquiridos del ITGAM deberán estar dados de alta en el SIBI-SEP y no se incurrirá en ninguna falta administrativa.</w:t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 xml:space="preserve">En el Sistema se podrá llevar un control de toda la documentación relacionada con la compra de bienes (facturas o donaciones) en manera digital para un pronto expediente electrónico, esto ayudara a que un bien en caso de fallar sea localizable de manera inmediata, la factura para hacer valida la garantía si esta estuviera aún vigente. </w:t>
      </w:r>
    </w:p>
    <w:p w:rsid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  <w:r w:rsidRPr="00DD272B">
        <w:rPr>
          <w:rFonts w:ascii="Bookman Old Style" w:hAnsi="Bookman Old Style"/>
          <w:sz w:val="26"/>
          <w:szCs w:val="26"/>
        </w:rPr>
        <w:t>La implementación de este sistema se contempla utilizando una programación básica que facilite los recursos del ITGAM para poderla soportar en cualquier equipo y no necesitar realizar gastos innecesarios para su funcionamiento, además de ser un sistema en tiempo real que permita verificar la información de manera transparente.</w:t>
      </w:r>
    </w:p>
    <w:p w:rsidR="00DD272B" w:rsidRPr="00DD272B" w:rsidRDefault="00DD272B" w:rsidP="00DD272B">
      <w:pPr>
        <w:ind w:firstLine="567"/>
        <w:jc w:val="both"/>
        <w:rPr>
          <w:rFonts w:ascii="Bookman Old Style" w:hAnsi="Bookman Old Style"/>
          <w:sz w:val="26"/>
          <w:szCs w:val="26"/>
        </w:rPr>
      </w:pPr>
    </w:p>
    <w:p w:rsidR="00CD37E0" w:rsidRDefault="00CD37E0">
      <w:pPr>
        <w:rPr>
          <w:rFonts w:ascii="Bookman Old Style" w:eastAsiaTheme="majorEastAsia" w:hAnsi="Bookman Old Style" w:cstheme="majorBidi"/>
          <w:b/>
          <w:bCs/>
          <w:color w:val="4F81BD" w:themeColor="accent1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br w:type="page"/>
      </w:r>
    </w:p>
    <w:p w:rsidR="0086708E" w:rsidRPr="00DD272B" w:rsidRDefault="00DD272B" w:rsidP="00DD272B">
      <w:pPr>
        <w:pStyle w:val="Ttulo2"/>
        <w:rPr>
          <w:rFonts w:ascii="Bookman Old Style" w:hAnsi="Bookman Old Style"/>
          <w:sz w:val="32"/>
          <w:szCs w:val="32"/>
        </w:rPr>
      </w:pPr>
      <w:r w:rsidRPr="00DD272B">
        <w:rPr>
          <w:rFonts w:ascii="Bookman Old Style" w:hAnsi="Bookman Old Style"/>
          <w:sz w:val="32"/>
          <w:szCs w:val="32"/>
        </w:rPr>
        <w:t>1.5. Carta de Aceptación del Proyecto</w:t>
      </w:r>
    </w:p>
    <w:p w:rsidR="0086708E" w:rsidRPr="00CB725C" w:rsidRDefault="0086708E" w:rsidP="0086708E">
      <w:pPr>
        <w:ind w:firstLine="567"/>
        <w:jc w:val="both"/>
        <w:rPr>
          <w:rFonts w:ascii="Bookman Old Style" w:hAnsi="Bookman Old Style"/>
          <w:sz w:val="26"/>
          <w:szCs w:val="26"/>
        </w:rPr>
      </w:pPr>
    </w:p>
    <w:sectPr w:rsidR="0086708E" w:rsidRPr="00CB725C" w:rsidSect="00A2159D">
      <w:pgSz w:w="12240" w:h="15840"/>
      <w:pgMar w:top="1985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33F6" w:rsidRDefault="00D333F6" w:rsidP="00620490">
      <w:pPr>
        <w:spacing w:after="0" w:line="240" w:lineRule="auto"/>
      </w:pPr>
      <w:r>
        <w:separator/>
      </w:r>
    </w:p>
  </w:endnote>
  <w:endnote w:type="continuationSeparator" w:id="0">
    <w:p w:rsidR="00D333F6" w:rsidRDefault="00D333F6" w:rsidP="00620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490" w:rsidRDefault="00B866FB">
    <w:pPr>
      <w:pStyle w:val="Piedepgina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23" type="#_x0000_t202" style="position:absolute;margin-left:-61.05pt;margin-top:-5.1pt;width:568.5pt;height:40.5pt;z-index:251665408" filled="f" stroked="f">
          <v:textbox style="mso-next-textbox:#_x0000_s5123">
            <w:txbxContent>
              <w:p w:rsidR="00262959" w:rsidRDefault="00262959" w:rsidP="00262959">
                <w:pPr>
                  <w:spacing w:after="0" w:line="360" w:lineRule="auto"/>
                  <w:rPr>
                    <w:rFonts w:ascii="Bookman Old Style" w:hAnsi="Bookman Old Style"/>
                    <w:b/>
                    <w:color w:val="365F91" w:themeColor="accent1" w:themeShade="BF"/>
                    <w:spacing w:val="60"/>
                    <w:sz w:val="24"/>
                    <w:szCs w:val="24"/>
                  </w:rPr>
                </w:pPr>
                <w:r w:rsidRPr="00262959">
                  <w:rPr>
                    <w:rFonts w:ascii="Bookman Old Style" w:hAnsi="Bookman Old Style"/>
                    <w:b/>
                    <w:color w:val="365F91" w:themeColor="accent1" w:themeShade="BF"/>
                    <w:spacing w:val="60"/>
                    <w:sz w:val="24"/>
                    <w:szCs w:val="24"/>
                  </w:rPr>
                  <w:t>Presentan:</w:t>
                </w:r>
              </w:p>
              <w:p w:rsidR="00262959" w:rsidRPr="00262959" w:rsidRDefault="00262959" w:rsidP="00262959">
                <w:pPr>
                  <w:spacing w:after="0" w:line="360" w:lineRule="auto"/>
                  <w:rPr>
                    <w:rFonts w:ascii="Bookman Old Style" w:hAnsi="Bookman Old Style"/>
                    <w:color w:val="365F91" w:themeColor="accent1" w:themeShade="BF"/>
                    <w:spacing w:val="60"/>
                  </w:rPr>
                </w:pPr>
                <w:r>
                  <w:rPr>
                    <w:rFonts w:ascii="Bookman Old Style" w:hAnsi="Bookman Old Style"/>
                    <w:color w:val="365F91" w:themeColor="accent1" w:themeShade="BF"/>
                    <w:spacing w:val="60"/>
                  </w:rPr>
                  <w:t>.</w:t>
                </w:r>
              </w:p>
            </w:txbxContent>
          </v:textbox>
        </v:shape>
      </w:pict>
    </w:r>
    <w:r w:rsidR="00262959">
      <w:rPr>
        <w:noProof/>
        <w:lang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-255270</wp:posOffset>
          </wp:positionV>
          <wp:extent cx="7791450" cy="190500"/>
          <wp:effectExtent l="19050" t="0" r="0" b="0"/>
          <wp:wrapNone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1450" cy="190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33F6" w:rsidRDefault="00D333F6" w:rsidP="00620490">
      <w:pPr>
        <w:spacing w:after="0" w:line="240" w:lineRule="auto"/>
      </w:pPr>
      <w:r>
        <w:separator/>
      </w:r>
    </w:p>
  </w:footnote>
  <w:footnote w:type="continuationSeparator" w:id="0">
    <w:p w:rsidR="00D333F6" w:rsidRDefault="00D333F6" w:rsidP="00620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490" w:rsidRDefault="00B866FB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5121" type="#_x0000_t202" style="position:absolute;margin-left:208.6pt;margin-top:-23.45pt;width:291.35pt;height:74.4pt;z-index:251664384" filled="f" stroked="f">
          <v:textbox style="mso-next-textbox:#_x0000_s5121">
            <w:txbxContent>
              <w:p w:rsidR="00350996" w:rsidRPr="00262959" w:rsidRDefault="00350996" w:rsidP="00262959">
                <w:pPr>
                  <w:spacing w:after="0" w:line="240" w:lineRule="auto"/>
                  <w:jc w:val="right"/>
                  <w:rPr>
                    <w:rFonts w:ascii="Bookman Old Style" w:hAnsi="Bookman Old Style"/>
                    <w:color w:val="365F91" w:themeColor="accent1" w:themeShade="BF"/>
                    <w:spacing w:val="60"/>
                    <w:sz w:val="36"/>
                    <w:szCs w:val="36"/>
                  </w:rPr>
                </w:pPr>
                <w:r w:rsidRPr="00262959">
                  <w:rPr>
                    <w:rFonts w:ascii="Bookman Old Style" w:hAnsi="Bookman Old Style"/>
                    <w:b/>
                    <w:color w:val="365F91" w:themeColor="accent1" w:themeShade="BF"/>
                    <w:spacing w:val="60"/>
                    <w:sz w:val="36"/>
                    <w:szCs w:val="36"/>
                  </w:rPr>
                  <w:t>Capítulo I.</w:t>
                </w:r>
                <w:r w:rsidRPr="00262959">
                  <w:rPr>
                    <w:rFonts w:ascii="Bookman Old Style" w:hAnsi="Bookman Old Style"/>
                    <w:color w:val="365F91" w:themeColor="accent1" w:themeShade="BF"/>
                    <w:spacing w:val="60"/>
                    <w:sz w:val="36"/>
                    <w:szCs w:val="36"/>
                  </w:rPr>
                  <w:t xml:space="preserve"> Anteproyecto</w:t>
                </w:r>
              </w:p>
              <w:p w:rsidR="00262959" w:rsidRPr="00262959" w:rsidRDefault="00262959" w:rsidP="00262959">
                <w:pPr>
                  <w:spacing w:after="0" w:line="240" w:lineRule="auto"/>
                  <w:jc w:val="right"/>
                  <w:rPr>
                    <w:rFonts w:ascii="Bookman Old Style" w:hAnsi="Bookman Old Style"/>
                    <w:color w:val="7F7F7F" w:themeColor="background1" w:themeShade="7F"/>
                    <w:spacing w:val="60"/>
                    <w:sz w:val="16"/>
                    <w:szCs w:val="16"/>
                  </w:rPr>
                </w:pPr>
              </w:p>
              <w:p w:rsidR="00350996" w:rsidRPr="00350996" w:rsidRDefault="00350996" w:rsidP="00262959">
                <w:pPr>
                  <w:spacing w:after="0" w:line="240" w:lineRule="auto"/>
                  <w:jc w:val="right"/>
                  <w:rPr>
                    <w:rFonts w:ascii="Bookman Old Style" w:hAnsi="Bookman Old Style"/>
                    <w:sz w:val="24"/>
                    <w:szCs w:val="24"/>
                  </w:rPr>
                </w:pPr>
                <w:r w:rsidRPr="00350996">
                  <w:rPr>
                    <w:rFonts w:ascii="Bookman Old Style" w:hAnsi="Bookman Old Style"/>
                    <w:color w:val="7F7F7F" w:themeColor="background1" w:themeShade="7F"/>
                    <w:spacing w:val="60"/>
                    <w:sz w:val="24"/>
                    <w:szCs w:val="24"/>
                  </w:rPr>
                  <w:t>Página</w:t>
                </w:r>
                <w:r w:rsidRPr="00350996">
                  <w:rPr>
                    <w:rFonts w:ascii="Bookman Old Style" w:hAnsi="Bookman Old Style"/>
                    <w:sz w:val="24"/>
                    <w:szCs w:val="24"/>
                  </w:rPr>
                  <w:t xml:space="preserve"> | </w:t>
                </w:r>
                <w:r w:rsidR="00B866FB" w:rsidRPr="00350996">
                  <w:rPr>
                    <w:rFonts w:ascii="Bookman Old Style" w:hAnsi="Bookman Old Style"/>
                    <w:sz w:val="24"/>
                    <w:szCs w:val="24"/>
                  </w:rPr>
                  <w:fldChar w:fldCharType="begin"/>
                </w:r>
                <w:r w:rsidRPr="00350996">
                  <w:rPr>
                    <w:rFonts w:ascii="Bookman Old Style" w:hAnsi="Bookman Old Style"/>
                    <w:sz w:val="24"/>
                    <w:szCs w:val="24"/>
                  </w:rPr>
                  <w:instrText xml:space="preserve"> PAGE   \* MERGEFORMAT </w:instrText>
                </w:r>
                <w:r w:rsidR="00B866FB" w:rsidRPr="00350996">
                  <w:rPr>
                    <w:rFonts w:ascii="Bookman Old Style" w:hAnsi="Bookman Old Style"/>
                    <w:sz w:val="24"/>
                    <w:szCs w:val="24"/>
                  </w:rPr>
                  <w:fldChar w:fldCharType="separate"/>
                </w:r>
                <w:r w:rsidR="00D333F6" w:rsidRPr="00D333F6">
                  <w:rPr>
                    <w:rFonts w:ascii="Bookman Old Style" w:hAnsi="Bookman Old Style"/>
                    <w:b/>
                    <w:noProof/>
                    <w:sz w:val="24"/>
                    <w:szCs w:val="24"/>
                  </w:rPr>
                  <w:t>1</w:t>
                </w:r>
                <w:r w:rsidR="00B866FB" w:rsidRPr="00350996">
                  <w:rPr>
                    <w:rFonts w:ascii="Bookman Old Style" w:hAnsi="Bookman Old Style"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 w:rsidR="00262959">
      <w:rPr>
        <w:noProof/>
        <w:lang w:eastAsia="es-MX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1594485</wp:posOffset>
          </wp:positionH>
          <wp:positionV relativeFrom="paragraph">
            <wp:posOffset>-259715</wp:posOffset>
          </wp:positionV>
          <wp:extent cx="1125855" cy="763270"/>
          <wp:effectExtent l="19050" t="0" r="0" b="0"/>
          <wp:wrapNone/>
          <wp:docPr id="5" name="4 Imagen" descr="EscudoITGAM_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ITGAM_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5855" cy="763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62959">
      <w:rPr>
        <w:noProof/>
        <w:lang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-910010</wp:posOffset>
          </wp:positionH>
          <wp:positionV relativeFrom="paragraph">
            <wp:posOffset>-258656</wp:posOffset>
          </wp:positionV>
          <wp:extent cx="2377164" cy="803082"/>
          <wp:effectExtent l="19050" t="0" r="4086" b="0"/>
          <wp:wrapNone/>
          <wp:docPr id="4" name="3 Imagen" descr="se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p.png"/>
                  <pic:cNvPicPr/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7164" cy="8030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813BE">
      <w:rPr>
        <w:noProof/>
        <w:lang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-412115</wp:posOffset>
          </wp:positionV>
          <wp:extent cx="7105650" cy="1028700"/>
          <wp:effectExtent l="0" t="0" r="0" b="0"/>
          <wp:wrapNone/>
          <wp:docPr id="3" name="2 Imagen" descr="curv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rva.png"/>
                  <pic:cNvPicPr/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 l="25106" b="82295"/>
                  <a:stretch>
                    <a:fillRect/>
                  </a:stretch>
                </pic:blipFill>
                <pic:spPr>
                  <a:xfrm>
                    <a:off x="0" y="0"/>
                    <a:ext cx="7105650" cy="1028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813BE"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-450215</wp:posOffset>
          </wp:positionV>
          <wp:extent cx="1695450" cy="1066800"/>
          <wp:effectExtent l="19050" t="0" r="0" b="0"/>
          <wp:wrapNone/>
          <wp:docPr id="1" name="0 Imagen" descr="cuadro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adros.png"/>
                  <pic:cNvPicPr/>
                </pic:nvPicPr>
                <pic:blipFill>
                  <a:blip r:embed="rId4"/>
                  <a:srcRect l="57367" r="14733" b="70100"/>
                  <a:stretch>
                    <a:fillRect/>
                  </a:stretch>
                </pic:blipFill>
                <pic:spPr>
                  <a:xfrm>
                    <a:off x="0" y="0"/>
                    <a:ext cx="1695450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813BE">
      <w:rPr>
        <w:noProof/>
        <w:lang w:eastAsia="es-MX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616584</wp:posOffset>
          </wp:positionV>
          <wp:extent cx="7791450" cy="74559"/>
          <wp:effectExtent l="19050" t="0" r="0" b="0"/>
          <wp:wrapNone/>
          <wp:docPr id="8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1450" cy="745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A573F"/>
    <w:multiLevelType w:val="hybridMultilevel"/>
    <w:tmpl w:val="9828D36E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7DB2030"/>
    <w:multiLevelType w:val="hybridMultilevel"/>
    <w:tmpl w:val="14CE75E8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B0C7AC1"/>
    <w:multiLevelType w:val="hybridMultilevel"/>
    <w:tmpl w:val="0F46596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8A32F9"/>
    <w:multiLevelType w:val="hybridMultilevel"/>
    <w:tmpl w:val="66846206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D2F4BB3"/>
    <w:multiLevelType w:val="hybridMultilevel"/>
    <w:tmpl w:val="87A09612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4545205C"/>
    <w:multiLevelType w:val="hybridMultilevel"/>
    <w:tmpl w:val="4D10C720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94F186F"/>
    <w:multiLevelType w:val="hybridMultilevel"/>
    <w:tmpl w:val="2C0652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D54485"/>
    <w:multiLevelType w:val="hybridMultilevel"/>
    <w:tmpl w:val="E18A20E4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54BC7F0D"/>
    <w:multiLevelType w:val="hybridMultilevel"/>
    <w:tmpl w:val="D3AC184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8B31A8"/>
    <w:multiLevelType w:val="hybridMultilevel"/>
    <w:tmpl w:val="53D0E41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1A55C0"/>
    <w:multiLevelType w:val="hybridMultilevel"/>
    <w:tmpl w:val="BFC8FCA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7D764F"/>
    <w:multiLevelType w:val="hybridMultilevel"/>
    <w:tmpl w:val="F4B8B762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9E66615"/>
    <w:multiLevelType w:val="hybridMultilevel"/>
    <w:tmpl w:val="DE282856"/>
    <w:lvl w:ilvl="0" w:tplc="0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74261F74"/>
    <w:multiLevelType w:val="hybridMultilevel"/>
    <w:tmpl w:val="AF0ABEE2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19" w:tentative="1">
      <w:start w:val="1"/>
      <w:numFmt w:val="lowerLetter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2"/>
  </w:num>
  <w:num w:numId="3">
    <w:abstractNumId w:val="3"/>
  </w:num>
  <w:num w:numId="4">
    <w:abstractNumId w:val="6"/>
  </w:num>
  <w:num w:numId="5">
    <w:abstractNumId w:val="2"/>
  </w:num>
  <w:num w:numId="6">
    <w:abstractNumId w:val="10"/>
  </w:num>
  <w:num w:numId="7">
    <w:abstractNumId w:val="8"/>
  </w:num>
  <w:num w:numId="8">
    <w:abstractNumId w:val="9"/>
  </w:num>
  <w:num w:numId="9">
    <w:abstractNumId w:val="13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attachedTemplate r:id="rId1"/>
  <w:defaultTabStop w:val="708"/>
  <w:hyphenationZone w:val="425"/>
  <w:characterSpacingControl w:val="doNotCompress"/>
  <w:savePreviewPicture/>
  <w:hdrShapeDefaults>
    <o:shapedefaults v:ext="edit" spidmax="10242"/>
    <o:shapelayout v:ext="edit">
      <o:idmap v:ext="edit" data="5"/>
    </o:shapelayout>
  </w:hdrShapeDefaults>
  <w:footnotePr>
    <w:footnote w:id="-1"/>
    <w:footnote w:id="0"/>
  </w:footnotePr>
  <w:endnotePr>
    <w:endnote w:id="-1"/>
    <w:endnote w:id="0"/>
  </w:endnotePr>
  <w:compat/>
  <w:rsids>
    <w:rsidRoot w:val="00A2159D"/>
    <w:rsid w:val="00035630"/>
    <w:rsid w:val="000D7CB0"/>
    <w:rsid w:val="00262959"/>
    <w:rsid w:val="002D1F83"/>
    <w:rsid w:val="00305E4F"/>
    <w:rsid w:val="00320DE9"/>
    <w:rsid w:val="003313BA"/>
    <w:rsid w:val="00350996"/>
    <w:rsid w:val="0039463F"/>
    <w:rsid w:val="003A2076"/>
    <w:rsid w:val="003B2C13"/>
    <w:rsid w:val="003F13AF"/>
    <w:rsid w:val="004813BE"/>
    <w:rsid w:val="004B3159"/>
    <w:rsid w:val="004F289F"/>
    <w:rsid w:val="005C28DF"/>
    <w:rsid w:val="00620490"/>
    <w:rsid w:val="006213EF"/>
    <w:rsid w:val="007C4B9B"/>
    <w:rsid w:val="00824E06"/>
    <w:rsid w:val="0086708E"/>
    <w:rsid w:val="008A3D15"/>
    <w:rsid w:val="00965C35"/>
    <w:rsid w:val="009B7CA0"/>
    <w:rsid w:val="00A06775"/>
    <w:rsid w:val="00A07387"/>
    <w:rsid w:val="00A2159D"/>
    <w:rsid w:val="00A36B29"/>
    <w:rsid w:val="00A92C3E"/>
    <w:rsid w:val="00AB4CF8"/>
    <w:rsid w:val="00AE2B05"/>
    <w:rsid w:val="00AF2A69"/>
    <w:rsid w:val="00B26971"/>
    <w:rsid w:val="00B34627"/>
    <w:rsid w:val="00B605B8"/>
    <w:rsid w:val="00B866FB"/>
    <w:rsid w:val="00C626EB"/>
    <w:rsid w:val="00CB725C"/>
    <w:rsid w:val="00CC4165"/>
    <w:rsid w:val="00CD37E0"/>
    <w:rsid w:val="00CF769D"/>
    <w:rsid w:val="00D333F6"/>
    <w:rsid w:val="00D67C61"/>
    <w:rsid w:val="00DD272B"/>
    <w:rsid w:val="00DD380E"/>
    <w:rsid w:val="00E37238"/>
    <w:rsid w:val="00E664C4"/>
    <w:rsid w:val="00E66A31"/>
    <w:rsid w:val="00FF45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E4F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6204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20490"/>
  </w:style>
  <w:style w:type="paragraph" w:styleId="Piedepgina">
    <w:name w:val="footer"/>
    <w:basedOn w:val="Normal"/>
    <w:link w:val="PiedepginaCar"/>
    <w:uiPriority w:val="99"/>
    <w:semiHidden/>
    <w:unhideWhenUsed/>
    <w:rsid w:val="006204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20490"/>
  </w:style>
  <w:style w:type="paragraph" w:styleId="Textodeglobo">
    <w:name w:val="Balloon Text"/>
    <w:basedOn w:val="Normal"/>
    <w:link w:val="TextodegloboCar"/>
    <w:uiPriority w:val="99"/>
    <w:semiHidden/>
    <w:unhideWhenUsed/>
    <w:rsid w:val="00620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049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D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0D7C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emf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ving\Documents\ITGAM\Residencias\SICAFI%20&#8211;%20Sistema%20de%20Control%20del%20Activo%20Fijo%20del%20ITGAM%20y%20proceso%20de%20inventarios\Dise&#241;o\SICAF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SICAFI.dotx</Template>
  <TotalTime>178</TotalTime>
  <Pages>13</Pages>
  <Words>1962</Words>
  <Characters>10793</Characters>
  <Application>Microsoft Office Word</Application>
  <DocSecurity>0</DocSecurity>
  <Lines>89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22</vt:i4>
      </vt:variant>
    </vt:vector>
  </HeadingPairs>
  <TitlesOfParts>
    <vt:vector size="23" baseType="lpstr">
      <vt:lpstr/>
      <vt:lpstr>    1.1. Antecedentes de la Empresa</vt:lpstr>
      <vt:lpstr>    1.1.1. ¿Qué es el TecNM?</vt:lpstr>
      <vt:lpstr>    1.1.2. Misión, Visión y Valores</vt:lpstr>
      <vt:lpstr>    1.1.3. Organigrama del ITGAM</vt:lpstr>
      <vt:lpstr>    1.1.4. Ubicación del ITGAM</vt:lpstr>
      <vt:lpstr>    1.1.5. Información del área</vt:lpstr>
      <vt:lpstr>    1.2. Problemática</vt:lpstr>
      <vt:lpstr>    1.2.1. Adquisición</vt:lpstr>
      <vt:lpstr>    1.2.2. Resguardos</vt:lpstr>
      <vt:lpstr>    1.2.3. Inventarios</vt:lpstr>
      <vt:lpstr>    1.2.4. SIBI-SEP</vt:lpstr>
      <vt:lpstr>    1.2.5. Documentación</vt:lpstr>
      <vt:lpstr>    1.3. Objetivos</vt:lpstr>
      <vt:lpstr>    1.3.1. Objetivo General</vt:lpstr>
      <vt:lpstr>    1.3.2. Objetivos Específicos</vt:lpstr>
      <vt:lpstr>    1.3.2.1. Adquisición</vt:lpstr>
      <vt:lpstr>    1.3.2.2. Resguardos</vt:lpstr>
      <vt:lpstr>    1.3.2.3. Inventarios</vt:lpstr>
      <vt:lpstr>    1.3.2.4. SIBI-SEP</vt:lpstr>
      <vt:lpstr>    1.3.2.5. Documentación</vt:lpstr>
      <vt:lpstr>    1.4. Justificación</vt:lpstr>
      <vt:lpstr>    1.5. Carta de Aceptación del Proyecto</vt:lpstr>
    </vt:vector>
  </TitlesOfParts>
  <Company/>
  <LinksUpToDate>false</LinksUpToDate>
  <CharactersWithSpaces>12730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irving</dc:creator>
  <cp:lastModifiedBy>irving</cp:lastModifiedBy>
  <cp:revision>2</cp:revision>
  <dcterms:created xsi:type="dcterms:W3CDTF">2016-06-27T20:00:00Z</dcterms:created>
  <dcterms:modified xsi:type="dcterms:W3CDTF">2018-02-03T19:05:00Z</dcterms:modified>
</cp:coreProperties>
</file>