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Kz3e7N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p w14:paraId="49C7B0F5">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center"/>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                      承诺人：</w:t>
      </w:r>
    </w:p>
    <w:p w14:paraId="3FD1F239">
      <w:pPr>
        <w:ind w:firstLine="3340" w:firstLineChars="0"/>
      </w:pPr>
      <w:r>
        <w:rPr>
          <w:rFonts w:hint="eastAsia" w:ascii="宋体" w:hAnsi="宋体" w:eastAsia="宋体" w:cs="宋体"/>
          <w:sz w:val="24"/>
          <w:szCs w:val="24"/>
          <w:lang w:val="en-US" w:eastAsia="zh-CN"/>
        </w:rPr>
        <w:t xml:space="preserve">                   时  间：</w:t>
      </w:r>
      <w:r>
        <w:br w:type="page"/>
      </w:r>
    </w:p>
    <w:p w14:paraId="5D793BAE">
      <w:pPr>
        <w:pStyle w:val="167"/>
      </w:pPr>
      <w:r>
        <w:t>目录</w:t>
      </w:r>
    </w:p>
    <w:p w14:paraId="7F339201">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_Toc27643 </w:instrText>
      </w:r>
      <w:r>
        <w:fldChar w:fldCharType="separate"/>
      </w:r>
      <w:r>
        <w:t>摘要</w:t>
      </w:r>
      <w:r>
        <w:tab/>
      </w:r>
      <w:r>
        <w:fldChar w:fldCharType="begin"/>
      </w:r>
      <w:r>
        <w:instrText xml:space="preserve"> PAGEREF _Toc27643 \h </w:instrText>
      </w:r>
      <w:r>
        <w:fldChar w:fldCharType="separate"/>
      </w:r>
      <w:r>
        <w:t>I</w:t>
      </w:r>
      <w:r>
        <w:fldChar w:fldCharType="end"/>
      </w:r>
      <w:r>
        <w:fldChar w:fldCharType="end"/>
      </w:r>
    </w:p>
    <w:p w14:paraId="17DA7EA7">
      <w:pPr>
        <w:pStyle w:val="27"/>
        <w:tabs>
          <w:tab w:val="right" w:leader="dot" w:pos="9072"/>
        </w:tabs>
      </w:pPr>
      <w:r>
        <w:fldChar w:fldCharType="begin"/>
      </w:r>
      <w:r>
        <w:instrText xml:space="preserve"> HYPERLINK \l _Toc14631 </w:instrText>
      </w:r>
      <w:r>
        <w:fldChar w:fldCharType="separate"/>
      </w:r>
      <w:r>
        <w:t>Abstract</w:t>
      </w:r>
      <w:r>
        <w:tab/>
      </w:r>
      <w:r>
        <w:fldChar w:fldCharType="begin"/>
      </w:r>
      <w:r>
        <w:instrText xml:space="preserve"> PAGEREF _Toc14631 \h </w:instrText>
      </w:r>
      <w:r>
        <w:fldChar w:fldCharType="separate"/>
      </w:r>
      <w:r>
        <w:t>II</w:t>
      </w:r>
      <w:r>
        <w:fldChar w:fldCharType="end"/>
      </w:r>
      <w:r>
        <w:fldChar w:fldCharType="end"/>
      </w:r>
    </w:p>
    <w:p w14:paraId="0FE74D28">
      <w:pPr>
        <w:pStyle w:val="27"/>
        <w:tabs>
          <w:tab w:val="right" w:leader="dot" w:pos="9072"/>
        </w:tabs>
      </w:pPr>
      <w:r>
        <w:fldChar w:fldCharType="begin"/>
      </w:r>
      <w:r>
        <w:instrText xml:space="preserve"> HYPERLINK \l _Toc21515 </w:instrText>
      </w:r>
      <w:r>
        <w:fldChar w:fldCharType="separate"/>
      </w:r>
      <w:r>
        <w:t>1 绪论</w:t>
      </w:r>
      <w:r>
        <w:tab/>
      </w:r>
      <w:r>
        <w:fldChar w:fldCharType="begin"/>
      </w:r>
      <w:r>
        <w:instrText xml:space="preserve"> PAGEREF _Toc21515 \h </w:instrText>
      </w:r>
      <w:r>
        <w:fldChar w:fldCharType="separate"/>
      </w:r>
      <w:r>
        <w:t>1</w:t>
      </w:r>
      <w:r>
        <w:fldChar w:fldCharType="end"/>
      </w:r>
      <w:r>
        <w:fldChar w:fldCharType="end"/>
      </w:r>
    </w:p>
    <w:p w14:paraId="44161B50">
      <w:pPr>
        <w:pStyle w:val="30"/>
        <w:tabs>
          <w:tab w:val="right" w:leader="dot" w:pos="9072"/>
        </w:tabs>
      </w:pPr>
      <w:r>
        <w:fldChar w:fldCharType="begin"/>
      </w:r>
      <w:r>
        <w:instrText xml:space="preserve"> HYPERLINK \l _Toc1877 </w:instrText>
      </w:r>
      <w:r>
        <w:fldChar w:fldCharType="separate"/>
      </w:r>
      <w:r>
        <w:t>1.1 研究背景与问题提出</w:t>
      </w:r>
      <w:r>
        <w:tab/>
      </w:r>
      <w:r>
        <w:fldChar w:fldCharType="begin"/>
      </w:r>
      <w:r>
        <w:instrText xml:space="preserve"> PAGEREF _Toc1877 \h </w:instrText>
      </w:r>
      <w:r>
        <w:fldChar w:fldCharType="separate"/>
      </w:r>
      <w:r>
        <w:t>1</w:t>
      </w:r>
      <w:r>
        <w:fldChar w:fldCharType="end"/>
      </w:r>
      <w:r>
        <w:fldChar w:fldCharType="end"/>
      </w:r>
    </w:p>
    <w:p w14:paraId="1E9F3C18">
      <w:pPr>
        <w:pStyle w:val="30"/>
        <w:tabs>
          <w:tab w:val="right" w:leader="dot" w:pos="9072"/>
        </w:tabs>
      </w:pPr>
      <w:r>
        <w:fldChar w:fldCharType="begin"/>
      </w:r>
      <w:r>
        <w:instrText xml:space="preserve"> HYPERLINK \l _Toc7 </w:instrText>
      </w:r>
      <w:r>
        <w:fldChar w:fldCharType="separate"/>
      </w:r>
      <w:r>
        <w:t>1.2 研究目标与意义</w:t>
      </w:r>
      <w:r>
        <w:tab/>
      </w:r>
      <w:r>
        <w:fldChar w:fldCharType="begin"/>
      </w:r>
      <w:r>
        <w:instrText xml:space="preserve"> PAGEREF _Toc7 \h </w:instrText>
      </w:r>
      <w:r>
        <w:fldChar w:fldCharType="separate"/>
      </w:r>
      <w:r>
        <w:t>1</w:t>
      </w:r>
      <w:r>
        <w:fldChar w:fldCharType="end"/>
      </w:r>
      <w:r>
        <w:fldChar w:fldCharType="end"/>
      </w:r>
    </w:p>
    <w:p w14:paraId="65C9CC0F">
      <w:pPr>
        <w:pStyle w:val="30"/>
        <w:tabs>
          <w:tab w:val="right" w:leader="dot" w:pos="9072"/>
        </w:tabs>
      </w:pPr>
      <w:r>
        <w:fldChar w:fldCharType="begin"/>
      </w:r>
      <w:r>
        <w:instrText xml:space="preserve"> HYPERLINK \l _Toc17135 </w:instrText>
      </w:r>
      <w:r>
        <w:fldChar w:fldCharType="separate"/>
      </w:r>
      <w:r>
        <w:t>1.3 国内外相关研究进展</w:t>
      </w:r>
      <w:r>
        <w:tab/>
      </w:r>
      <w:r>
        <w:fldChar w:fldCharType="begin"/>
      </w:r>
      <w:r>
        <w:instrText xml:space="preserve"> PAGEREF _Toc17135 \h </w:instrText>
      </w:r>
      <w:r>
        <w:fldChar w:fldCharType="separate"/>
      </w:r>
      <w:r>
        <w:t>2</w:t>
      </w:r>
      <w:r>
        <w:fldChar w:fldCharType="end"/>
      </w:r>
      <w:r>
        <w:fldChar w:fldCharType="end"/>
      </w:r>
    </w:p>
    <w:p w14:paraId="2C8A5515">
      <w:pPr>
        <w:pStyle w:val="30"/>
        <w:tabs>
          <w:tab w:val="right" w:leader="dot" w:pos="9072"/>
        </w:tabs>
      </w:pPr>
      <w:r>
        <w:fldChar w:fldCharType="begin"/>
      </w:r>
      <w:r>
        <w:instrText xml:space="preserve"> HYPERLINK \l _Toc1331 </w:instrText>
      </w:r>
      <w:r>
        <w:fldChar w:fldCharType="separate"/>
      </w:r>
      <w:r>
        <w:t>1.4 研究方法与论文组织</w:t>
      </w:r>
      <w:r>
        <w:tab/>
      </w:r>
      <w:r>
        <w:fldChar w:fldCharType="begin"/>
      </w:r>
      <w:r>
        <w:instrText xml:space="preserve"> PAGEREF _Toc1331 \h </w:instrText>
      </w:r>
      <w:r>
        <w:fldChar w:fldCharType="separate"/>
      </w:r>
      <w:r>
        <w:t>4</w:t>
      </w:r>
      <w:r>
        <w:fldChar w:fldCharType="end"/>
      </w:r>
      <w:r>
        <w:fldChar w:fldCharType="end"/>
      </w:r>
    </w:p>
    <w:p w14:paraId="795D81F8">
      <w:pPr>
        <w:pStyle w:val="27"/>
        <w:tabs>
          <w:tab w:val="right" w:leader="dot" w:pos="9072"/>
        </w:tabs>
      </w:pPr>
      <w:r>
        <w:fldChar w:fldCharType="begin"/>
      </w:r>
      <w:r>
        <w:instrText xml:space="preserve"> HYPERLINK \l _Toc10144 </w:instrText>
      </w:r>
      <w:r>
        <w:fldChar w:fldCharType="separate"/>
      </w:r>
      <w:r>
        <w:t>2 相关理论与关键技术</w:t>
      </w:r>
      <w:r>
        <w:tab/>
      </w:r>
      <w:r>
        <w:fldChar w:fldCharType="begin"/>
      </w:r>
      <w:r>
        <w:instrText xml:space="preserve"> PAGEREF _Toc10144 \h </w:instrText>
      </w:r>
      <w:r>
        <w:fldChar w:fldCharType="separate"/>
      </w:r>
      <w:r>
        <w:t>5</w:t>
      </w:r>
      <w:r>
        <w:fldChar w:fldCharType="end"/>
      </w:r>
      <w:r>
        <w:fldChar w:fldCharType="end"/>
      </w:r>
    </w:p>
    <w:p w14:paraId="48CD6041">
      <w:pPr>
        <w:pStyle w:val="30"/>
        <w:tabs>
          <w:tab w:val="right" w:leader="dot" w:pos="9072"/>
        </w:tabs>
      </w:pPr>
      <w:r>
        <w:fldChar w:fldCharType="begin"/>
      </w:r>
      <w:r>
        <w:instrText xml:space="preserve"> HYPERLINK \l _Toc9758 </w:instrText>
      </w:r>
      <w:r>
        <w:fldChar w:fldCharType="separate"/>
      </w:r>
      <w:r>
        <w:t>2.1 服务边界与远程调用</w:t>
      </w:r>
      <w:r>
        <w:tab/>
      </w:r>
      <w:r>
        <w:fldChar w:fldCharType="begin"/>
      </w:r>
      <w:r>
        <w:instrText xml:space="preserve"> PAGEREF _Toc9758 \h </w:instrText>
      </w:r>
      <w:r>
        <w:fldChar w:fldCharType="separate"/>
      </w:r>
      <w:r>
        <w:t>5</w:t>
      </w:r>
      <w:r>
        <w:fldChar w:fldCharType="end"/>
      </w:r>
      <w:r>
        <w:fldChar w:fldCharType="end"/>
      </w:r>
    </w:p>
    <w:p w14:paraId="5526AC90">
      <w:pPr>
        <w:pStyle w:val="30"/>
        <w:tabs>
          <w:tab w:val="right" w:leader="dot" w:pos="9072"/>
        </w:tabs>
      </w:pPr>
      <w:r>
        <w:fldChar w:fldCharType="begin"/>
      </w:r>
      <w:r>
        <w:instrText xml:space="preserve"> HYPERLINK \l _Toc21770 </w:instrText>
      </w:r>
      <w:r>
        <w:fldChar w:fldCharType="separate"/>
      </w:r>
      <w:r>
        <w:t>2.2 状态机与有效学时</w:t>
      </w:r>
      <w:r>
        <w:tab/>
      </w:r>
      <w:r>
        <w:fldChar w:fldCharType="begin"/>
      </w:r>
      <w:r>
        <w:instrText xml:space="preserve"> PAGEREF _Toc21770 \h </w:instrText>
      </w:r>
      <w:r>
        <w:fldChar w:fldCharType="separate"/>
      </w:r>
      <w:r>
        <w:t>5</w:t>
      </w:r>
      <w:r>
        <w:fldChar w:fldCharType="end"/>
      </w:r>
      <w:r>
        <w:fldChar w:fldCharType="end"/>
      </w:r>
    </w:p>
    <w:p w14:paraId="5C40C03D">
      <w:pPr>
        <w:pStyle w:val="30"/>
        <w:tabs>
          <w:tab w:val="right" w:leader="dot" w:pos="9072"/>
        </w:tabs>
      </w:pPr>
      <w:r>
        <w:fldChar w:fldCharType="begin"/>
      </w:r>
      <w:r>
        <w:instrText xml:space="preserve"> HYPERLINK \l _Toc30210 </w:instrText>
      </w:r>
      <w:r>
        <w:fldChar w:fldCharType="separate"/>
      </w:r>
      <w:r>
        <w:t>2.3 本地事务与消息最终一致性</w:t>
      </w:r>
      <w:r>
        <w:tab/>
      </w:r>
      <w:r>
        <w:fldChar w:fldCharType="begin"/>
      </w:r>
      <w:r>
        <w:instrText xml:space="preserve"> PAGEREF _Toc30210 \h </w:instrText>
      </w:r>
      <w:r>
        <w:fldChar w:fldCharType="separate"/>
      </w:r>
      <w:r>
        <w:t>6</w:t>
      </w:r>
      <w:r>
        <w:fldChar w:fldCharType="end"/>
      </w:r>
      <w:r>
        <w:fldChar w:fldCharType="end"/>
      </w:r>
    </w:p>
    <w:p w14:paraId="6121A6AE">
      <w:pPr>
        <w:pStyle w:val="30"/>
        <w:tabs>
          <w:tab w:val="right" w:leader="dot" w:pos="9072"/>
        </w:tabs>
      </w:pPr>
      <w:r>
        <w:fldChar w:fldCharType="begin"/>
      </w:r>
      <w:r>
        <w:instrText xml:space="preserve"> HYPERLINK \l _Toc17173 </w:instrText>
      </w:r>
      <w:r>
        <w:fldChar w:fldCharType="separate"/>
      </w:r>
      <w:r>
        <w:t>2.4 身份抽验与信息保护</w:t>
      </w:r>
      <w:r>
        <w:tab/>
      </w:r>
      <w:r>
        <w:fldChar w:fldCharType="begin"/>
      </w:r>
      <w:r>
        <w:instrText xml:space="preserve"> PAGEREF _Toc17173 \h </w:instrText>
      </w:r>
      <w:r>
        <w:fldChar w:fldCharType="separate"/>
      </w:r>
      <w:r>
        <w:t>7</w:t>
      </w:r>
      <w:r>
        <w:fldChar w:fldCharType="end"/>
      </w:r>
      <w:r>
        <w:fldChar w:fldCharType="end"/>
      </w:r>
    </w:p>
    <w:p w14:paraId="63C77ECC">
      <w:pPr>
        <w:pStyle w:val="30"/>
        <w:tabs>
          <w:tab w:val="right" w:leader="dot" w:pos="9072"/>
        </w:tabs>
      </w:pPr>
      <w:r>
        <w:fldChar w:fldCharType="begin"/>
      </w:r>
      <w:r>
        <w:instrText xml:space="preserve"> HYPERLINK \l _Toc24668 </w:instrText>
      </w:r>
      <w:r>
        <w:fldChar w:fldCharType="separate"/>
      </w:r>
      <w:r>
        <w:t>2.5 前后端与持久化技术选择</w:t>
      </w:r>
      <w:r>
        <w:tab/>
      </w:r>
      <w:r>
        <w:fldChar w:fldCharType="begin"/>
      </w:r>
      <w:r>
        <w:instrText xml:space="preserve"> PAGEREF _Toc24668 \h </w:instrText>
      </w:r>
      <w:r>
        <w:fldChar w:fldCharType="separate"/>
      </w:r>
      <w:r>
        <w:t>7</w:t>
      </w:r>
      <w:r>
        <w:fldChar w:fldCharType="end"/>
      </w:r>
      <w:r>
        <w:fldChar w:fldCharType="end"/>
      </w:r>
    </w:p>
    <w:p w14:paraId="08DC0171">
      <w:pPr>
        <w:pStyle w:val="27"/>
        <w:tabs>
          <w:tab w:val="right" w:leader="dot" w:pos="9072"/>
        </w:tabs>
      </w:pPr>
      <w:r>
        <w:fldChar w:fldCharType="begin"/>
      </w:r>
      <w:r>
        <w:instrText xml:space="preserve"> HYPERLINK \l _Toc32181 </w:instrText>
      </w:r>
      <w:r>
        <w:fldChar w:fldCharType="separate"/>
      </w:r>
      <w:r>
        <w:t>3 需求与可行性分析</w:t>
      </w:r>
      <w:r>
        <w:tab/>
      </w:r>
      <w:r>
        <w:fldChar w:fldCharType="begin"/>
      </w:r>
      <w:r>
        <w:instrText xml:space="preserve"> PAGEREF _Toc32181 \h </w:instrText>
      </w:r>
      <w:r>
        <w:fldChar w:fldCharType="separate"/>
      </w:r>
      <w:r>
        <w:t>9</w:t>
      </w:r>
      <w:r>
        <w:fldChar w:fldCharType="end"/>
      </w:r>
      <w:r>
        <w:fldChar w:fldCharType="end"/>
      </w:r>
    </w:p>
    <w:p w14:paraId="4891F2E7">
      <w:pPr>
        <w:pStyle w:val="30"/>
        <w:tabs>
          <w:tab w:val="right" w:leader="dot" w:pos="9072"/>
        </w:tabs>
      </w:pPr>
      <w:r>
        <w:fldChar w:fldCharType="begin"/>
      </w:r>
      <w:r>
        <w:instrText xml:space="preserve"> HYPERLINK \l _Toc32273 </w:instrText>
      </w:r>
      <w:r>
        <w:fldChar w:fldCharType="separate"/>
      </w:r>
      <w:r>
        <w:t>3.1 用户角色与业务范围</w:t>
      </w:r>
      <w:r>
        <w:tab/>
      </w:r>
      <w:r>
        <w:fldChar w:fldCharType="begin"/>
      </w:r>
      <w:r>
        <w:instrText xml:space="preserve"> PAGEREF _Toc32273 \h </w:instrText>
      </w:r>
      <w:r>
        <w:fldChar w:fldCharType="separate"/>
      </w:r>
      <w:r>
        <w:t>9</w:t>
      </w:r>
      <w:r>
        <w:fldChar w:fldCharType="end"/>
      </w:r>
      <w:r>
        <w:fldChar w:fldCharType="end"/>
      </w:r>
    </w:p>
    <w:p w14:paraId="132F9B1F">
      <w:pPr>
        <w:pStyle w:val="30"/>
        <w:tabs>
          <w:tab w:val="right" w:leader="dot" w:pos="9072"/>
        </w:tabs>
      </w:pPr>
      <w:r>
        <w:fldChar w:fldCharType="begin"/>
      </w:r>
      <w:r>
        <w:instrText xml:space="preserve"> HYPERLINK \l _Toc3061 </w:instrText>
      </w:r>
      <w:r>
        <w:fldChar w:fldCharType="separate"/>
      </w:r>
      <w:r>
        <w:t>3.2 培训业务流程与功能需求</w:t>
      </w:r>
      <w:r>
        <w:tab/>
      </w:r>
      <w:r>
        <w:fldChar w:fldCharType="begin"/>
      </w:r>
      <w:r>
        <w:instrText xml:space="preserve"> PAGEREF _Toc3061 \h </w:instrText>
      </w:r>
      <w:r>
        <w:fldChar w:fldCharType="separate"/>
      </w:r>
      <w:r>
        <w:t>9</w:t>
      </w:r>
      <w:r>
        <w:fldChar w:fldCharType="end"/>
      </w:r>
      <w:r>
        <w:fldChar w:fldCharType="end"/>
      </w:r>
    </w:p>
    <w:p w14:paraId="637DC6E1">
      <w:pPr>
        <w:pStyle w:val="24"/>
        <w:tabs>
          <w:tab w:val="right" w:leader="dot" w:pos="9072"/>
        </w:tabs>
      </w:pPr>
      <w:r>
        <w:fldChar w:fldCharType="begin"/>
      </w:r>
      <w:r>
        <w:instrText xml:space="preserve"> HYPERLINK \l _Toc11476 </w:instrText>
      </w:r>
      <w:r>
        <w:fldChar w:fldCharType="separate"/>
      </w:r>
      <w:r>
        <w:t>3.2.1 课程与计划发布</w:t>
      </w:r>
      <w:r>
        <w:tab/>
      </w:r>
      <w:r>
        <w:fldChar w:fldCharType="begin"/>
      </w:r>
      <w:r>
        <w:instrText xml:space="preserve"> PAGEREF _Toc11476 \h </w:instrText>
      </w:r>
      <w:r>
        <w:fldChar w:fldCharType="separate"/>
      </w:r>
      <w:r>
        <w:t>9</w:t>
      </w:r>
      <w:r>
        <w:fldChar w:fldCharType="end"/>
      </w:r>
      <w:r>
        <w:fldChar w:fldCharType="end"/>
      </w:r>
    </w:p>
    <w:p w14:paraId="6F4E6F0E">
      <w:pPr>
        <w:pStyle w:val="24"/>
        <w:tabs>
          <w:tab w:val="right" w:leader="dot" w:pos="9072"/>
        </w:tabs>
      </w:pPr>
      <w:r>
        <w:fldChar w:fldCharType="begin"/>
      </w:r>
      <w:r>
        <w:instrText xml:space="preserve"> HYPERLINK \l _Toc17479 </w:instrText>
      </w:r>
      <w:r>
        <w:fldChar w:fldCharType="separate"/>
      </w:r>
      <w:r>
        <w:t>3.2.2 学习与异常恢复</w:t>
      </w:r>
      <w:r>
        <w:tab/>
      </w:r>
      <w:r>
        <w:fldChar w:fldCharType="begin"/>
      </w:r>
      <w:r>
        <w:instrText xml:space="preserve"> PAGEREF _Toc17479 \h </w:instrText>
      </w:r>
      <w:r>
        <w:fldChar w:fldCharType="separate"/>
      </w:r>
      <w:r>
        <w:t>10</w:t>
      </w:r>
      <w:r>
        <w:fldChar w:fldCharType="end"/>
      </w:r>
      <w:r>
        <w:fldChar w:fldCharType="end"/>
      </w:r>
    </w:p>
    <w:p w14:paraId="2706357D">
      <w:pPr>
        <w:pStyle w:val="24"/>
        <w:tabs>
          <w:tab w:val="right" w:leader="dot" w:pos="9072"/>
        </w:tabs>
      </w:pPr>
      <w:r>
        <w:fldChar w:fldCharType="begin"/>
      </w:r>
      <w:r>
        <w:instrText xml:space="preserve"> HYPERLINK \l _Toc17069 </w:instrText>
      </w:r>
      <w:r>
        <w:fldChar w:fldCharType="separate"/>
      </w:r>
      <w:r>
        <w:t>3.2.3 抽验与考试</w:t>
      </w:r>
      <w:r>
        <w:tab/>
      </w:r>
      <w:r>
        <w:fldChar w:fldCharType="begin"/>
      </w:r>
      <w:r>
        <w:instrText xml:space="preserve"> PAGEREF _Toc17069 \h </w:instrText>
      </w:r>
      <w:r>
        <w:fldChar w:fldCharType="separate"/>
      </w:r>
      <w:r>
        <w:t>10</w:t>
      </w:r>
      <w:r>
        <w:fldChar w:fldCharType="end"/>
      </w:r>
      <w:r>
        <w:fldChar w:fldCharType="end"/>
      </w:r>
    </w:p>
    <w:p w14:paraId="0F3FBB95">
      <w:pPr>
        <w:pStyle w:val="24"/>
        <w:tabs>
          <w:tab w:val="right" w:leader="dot" w:pos="9072"/>
        </w:tabs>
      </w:pPr>
      <w:r>
        <w:fldChar w:fldCharType="begin"/>
      </w:r>
      <w:r>
        <w:instrText xml:space="preserve"> HYPERLINK \l _Toc8298 </w:instrText>
      </w:r>
      <w:r>
        <w:fldChar w:fldCharType="separate"/>
      </w:r>
      <w:r>
        <w:t>3.2.4 档案与统计</w:t>
      </w:r>
      <w:r>
        <w:tab/>
      </w:r>
      <w:r>
        <w:fldChar w:fldCharType="begin"/>
      </w:r>
      <w:r>
        <w:instrText xml:space="preserve"> PAGEREF _Toc8298 \h </w:instrText>
      </w:r>
      <w:r>
        <w:fldChar w:fldCharType="separate"/>
      </w:r>
      <w:r>
        <w:t>10</w:t>
      </w:r>
      <w:r>
        <w:fldChar w:fldCharType="end"/>
      </w:r>
      <w:r>
        <w:fldChar w:fldCharType="end"/>
      </w:r>
    </w:p>
    <w:p w14:paraId="049107F9">
      <w:pPr>
        <w:pStyle w:val="30"/>
        <w:tabs>
          <w:tab w:val="right" w:leader="dot" w:pos="9072"/>
        </w:tabs>
      </w:pPr>
      <w:r>
        <w:fldChar w:fldCharType="begin"/>
      </w:r>
      <w:r>
        <w:instrText xml:space="preserve"> HYPERLINK \l _Toc18132 </w:instrText>
      </w:r>
      <w:r>
        <w:fldChar w:fldCharType="separate"/>
      </w:r>
      <w:r>
        <w:t>3.3 非功能需求</w:t>
      </w:r>
      <w:r>
        <w:tab/>
      </w:r>
      <w:r>
        <w:fldChar w:fldCharType="begin"/>
      </w:r>
      <w:r>
        <w:instrText xml:space="preserve"> PAGEREF _Toc18132 \h </w:instrText>
      </w:r>
      <w:r>
        <w:fldChar w:fldCharType="separate"/>
      </w:r>
      <w:r>
        <w:t>11</w:t>
      </w:r>
      <w:r>
        <w:fldChar w:fldCharType="end"/>
      </w:r>
      <w:r>
        <w:fldChar w:fldCharType="end"/>
      </w:r>
    </w:p>
    <w:p w14:paraId="4B11B8C4">
      <w:pPr>
        <w:pStyle w:val="30"/>
        <w:tabs>
          <w:tab w:val="right" w:leader="dot" w:pos="9072"/>
        </w:tabs>
      </w:pPr>
      <w:r>
        <w:fldChar w:fldCharType="begin"/>
      </w:r>
      <w:r>
        <w:instrText xml:space="preserve"> HYPERLINK \l _Toc30052 </w:instrText>
      </w:r>
      <w:r>
        <w:fldChar w:fldCharType="separate"/>
      </w:r>
      <w:r>
        <w:t>3.4 方案可行性与选择</w:t>
      </w:r>
      <w:r>
        <w:tab/>
      </w:r>
      <w:r>
        <w:fldChar w:fldCharType="begin"/>
      </w:r>
      <w:r>
        <w:instrText xml:space="preserve"> PAGEREF _Toc30052 \h </w:instrText>
      </w:r>
      <w:r>
        <w:fldChar w:fldCharType="separate"/>
      </w:r>
      <w:r>
        <w:t>11</w:t>
      </w:r>
      <w:r>
        <w:fldChar w:fldCharType="end"/>
      </w:r>
      <w:r>
        <w:fldChar w:fldCharType="end"/>
      </w:r>
    </w:p>
    <w:p w14:paraId="5168AE5B">
      <w:pPr>
        <w:pStyle w:val="27"/>
        <w:tabs>
          <w:tab w:val="right" w:leader="dot" w:pos="9072"/>
        </w:tabs>
      </w:pPr>
      <w:r>
        <w:fldChar w:fldCharType="begin"/>
      </w:r>
      <w:r>
        <w:instrText xml:space="preserve"> HYPERLINK \l _Toc8760 </w:instrText>
      </w:r>
      <w:r>
        <w:fldChar w:fldCharType="separate"/>
      </w:r>
      <w:r>
        <w:t>4 系统设计</w:t>
      </w:r>
      <w:r>
        <w:tab/>
      </w:r>
      <w:r>
        <w:fldChar w:fldCharType="begin"/>
      </w:r>
      <w:r>
        <w:instrText xml:space="preserve"> PAGEREF _Toc8760 \h </w:instrText>
      </w:r>
      <w:r>
        <w:fldChar w:fldCharType="separate"/>
      </w:r>
      <w:r>
        <w:t>13</w:t>
      </w:r>
      <w:r>
        <w:fldChar w:fldCharType="end"/>
      </w:r>
      <w:r>
        <w:fldChar w:fldCharType="end"/>
      </w:r>
    </w:p>
    <w:p w14:paraId="54B7BB4C">
      <w:pPr>
        <w:pStyle w:val="30"/>
        <w:tabs>
          <w:tab w:val="right" w:leader="dot" w:pos="9072"/>
        </w:tabs>
      </w:pPr>
      <w:r>
        <w:fldChar w:fldCharType="begin"/>
      </w:r>
      <w:r>
        <w:instrText xml:space="preserve"> HYPERLINK \l _Toc22624 </w:instrText>
      </w:r>
      <w:r>
        <w:fldChar w:fldCharType="separate"/>
      </w:r>
      <w:r>
        <w:t>4.1 总体架构</w:t>
      </w:r>
      <w:r>
        <w:tab/>
      </w:r>
      <w:r>
        <w:fldChar w:fldCharType="begin"/>
      </w:r>
      <w:r>
        <w:instrText xml:space="preserve"> PAGEREF _Toc22624 \h </w:instrText>
      </w:r>
      <w:r>
        <w:fldChar w:fldCharType="separate"/>
      </w:r>
      <w:r>
        <w:t>13</w:t>
      </w:r>
      <w:r>
        <w:fldChar w:fldCharType="end"/>
      </w:r>
      <w:r>
        <w:fldChar w:fldCharType="end"/>
      </w:r>
    </w:p>
    <w:p w14:paraId="0DB52A5A">
      <w:pPr>
        <w:pStyle w:val="30"/>
        <w:tabs>
          <w:tab w:val="right" w:leader="dot" w:pos="9072"/>
        </w:tabs>
      </w:pPr>
      <w:r>
        <w:fldChar w:fldCharType="begin"/>
      </w:r>
      <w:r>
        <w:instrText xml:space="preserve"> HYPERLINK \l _Toc3435 </w:instrText>
      </w:r>
      <w:r>
        <w:fldChar w:fldCharType="separate"/>
      </w:r>
      <w:r>
        <w:t>4.2 数据模型与发布快照</w:t>
      </w:r>
      <w:r>
        <w:tab/>
      </w:r>
      <w:r>
        <w:fldChar w:fldCharType="begin"/>
      </w:r>
      <w:r>
        <w:instrText xml:space="preserve"> PAGEREF _Toc3435 \h </w:instrText>
      </w:r>
      <w:r>
        <w:fldChar w:fldCharType="separate"/>
      </w:r>
      <w:r>
        <w:t>14</w:t>
      </w:r>
      <w:r>
        <w:fldChar w:fldCharType="end"/>
      </w:r>
      <w:r>
        <w:fldChar w:fldCharType="end"/>
      </w:r>
    </w:p>
    <w:p w14:paraId="13F25E0C">
      <w:pPr>
        <w:pStyle w:val="24"/>
        <w:tabs>
          <w:tab w:val="right" w:leader="dot" w:pos="9072"/>
        </w:tabs>
      </w:pPr>
      <w:r>
        <w:fldChar w:fldCharType="begin"/>
      </w:r>
      <w:r>
        <w:instrText xml:space="preserve"> HYPERLINK \l _Toc32628 </w:instrText>
      </w:r>
      <w:r>
        <w:fldChar w:fldCharType="separate"/>
      </w:r>
      <w:r>
        <w:t>4.2.1 主要业务实体</w:t>
      </w:r>
      <w:r>
        <w:tab/>
      </w:r>
      <w:r>
        <w:fldChar w:fldCharType="begin"/>
      </w:r>
      <w:r>
        <w:instrText xml:space="preserve"> PAGEREF _Toc32628 \h </w:instrText>
      </w:r>
      <w:r>
        <w:fldChar w:fldCharType="separate"/>
      </w:r>
      <w:r>
        <w:t>14</w:t>
      </w:r>
      <w:r>
        <w:fldChar w:fldCharType="end"/>
      </w:r>
      <w:r>
        <w:fldChar w:fldCharType="end"/>
      </w:r>
    </w:p>
    <w:p w14:paraId="165AC634">
      <w:pPr>
        <w:pStyle w:val="24"/>
        <w:tabs>
          <w:tab w:val="right" w:leader="dot" w:pos="9072"/>
        </w:tabs>
      </w:pPr>
      <w:r>
        <w:fldChar w:fldCharType="begin"/>
      </w:r>
      <w:r>
        <w:instrText xml:space="preserve"> HYPERLINK \l _Toc28365 </w:instrText>
      </w:r>
      <w:r>
        <w:fldChar w:fldCharType="separate"/>
      </w:r>
      <w:r>
        <w:t>4.2.2 快照与历史解释</w:t>
      </w:r>
      <w:r>
        <w:tab/>
      </w:r>
      <w:r>
        <w:fldChar w:fldCharType="begin"/>
      </w:r>
      <w:r>
        <w:instrText xml:space="preserve"> PAGEREF _Toc28365 \h </w:instrText>
      </w:r>
      <w:r>
        <w:fldChar w:fldCharType="separate"/>
      </w:r>
      <w:r>
        <w:t>15</w:t>
      </w:r>
      <w:r>
        <w:fldChar w:fldCharType="end"/>
      </w:r>
      <w:r>
        <w:fldChar w:fldCharType="end"/>
      </w:r>
    </w:p>
    <w:p w14:paraId="0E6AED22">
      <w:pPr>
        <w:pStyle w:val="24"/>
        <w:tabs>
          <w:tab w:val="right" w:leader="dot" w:pos="9072"/>
        </w:tabs>
      </w:pPr>
      <w:r>
        <w:fldChar w:fldCharType="begin"/>
      </w:r>
      <w:r>
        <w:instrText xml:space="preserve"> HYPERLINK \l _Toc9623 </w:instrText>
      </w:r>
      <w:r>
        <w:fldChar w:fldCharType="separate"/>
      </w:r>
      <w:r>
        <w:t>4.2.3 唯一性与删除约束</w:t>
      </w:r>
      <w:r>
        <w:tab/>
      </w:r>
      <w:r>
        <w:fldChar w:fldCharType="begin"/>
      </w:r>
      <w:r>
        <w:instrText xml:space="preserve"> PAGEREF _Toc9623 \h </w:instrText>
      </w:r>
      <w:r>
        <w:fldChar w:fldCharType="separate"/>
      </w:r>
      <w:r>
        <w:t>16</w:t>
      </w:r>
      <w:r>
        <w:fldChar w:fldCharType="end"/>
      </w:r>
      <w:r>
        <w:fldChar w:fldCharType="end"/>
      </w:r>
    </w:p>
    <w:p w14:paraId="7357675A">
      <w:pPr>
        <w:pStyle w:val="30"/>
        <w:tabs>
          <w:tab w:val="right" w:leader="dot" w:pos="9072"/>
        </w:tabs>
      </w:pPr>
      <w:r>
        <w:fldChar w:fldCharType="begin"/>
      </w:r>
      <w:r>
        <w:instrText xml:space="preserve"> HYPERLINK \l _Toc13097 </w:instrText>
      </w:r>
      <w:r>
        <w:fldChar w:fldCharType="separate"/>
      </w:r>
      <w:r>
        <w:t>4.3 学习消息处理流程</w:t>
      </w:r>
      <w:r>
        <w:tab/>
      </w:r>
      <w:r>
        <w:fldChar w:fldCharType="begin"/>
      </w:r>
      <w:r>
        <w:instrText xml:space="preserve"> PAGEREF _Toc13097 \h </w:instrText>
      </w:r>
      <w:r>
        <w:fldChar w:fldCharType="separate"/>
      </w:r>
      <w:r>
        <w:t>16</w:t>
      </w:r>
      <w:r>
        <w:fldChar w:fldCharType="end"/>
      </w:r>
      <w:r>
        <w:fldChar w:fldCharType="end"/>
      </w:r>
    </w:p>
    <w:p w14:paraId="0B7E8D48">
      <w:pPr>
        <w:pStyle w:val="30"/>
        <w:tabs>
          <w:tab w:val="right" w:leader="dot" w:pos="9072"/>
        </w:tabs>
      </w:pPr>
      <w:r>
        <w:fldChar w:fldCharType="begin"/>
      </w:r>
      <w:r>
        <w:instrText xml:space="preserve"> HYPERLINK \l _Toc29523 </w:instrText>
      </w:r>
      <w:r>
        <w:fldChar w:fldCharType="separate"/>
      </w:r>
      <w:r>
        <w:t>4.4 抽验与考试状态设计</w:t>
      </w:r>
      <w:r>
        <w:tab/>
      </w:r>
      <w:r>
        <w:fldChar w:fldCharType="begin"/>
      </w:r>
      <w:r>
        <w:instrText xml:space="preserve"> PAGEREF _Toc29523 \h </w:instrText>
      </w:r>
      <w:r>
        <w:fldChar w:fldCharType="separate"/>
      </w:r>
      <w:r>
        <w:t>17</w:t>
      </w:r>
      <w:r>
        <w:fldChar w:fldCharType="end"/>
      </w:r>
      <w:r>
        <w:fldChar w:fldCharType="end"/>
      </w:r>
    </w:p>
    <w:p w14:paraId="076C5B9D">
      <w:pPr>
        <w:pStyle w:val="30"/>
        <w:tabs>
          <w:tab w:val="right" w:leader="dot" w:pos="9072"/>
        </w:tabs>
      </w:pPr>
      <w:r>
        <w:fldChar w:fldCharType="begin"/>
      </w:r>
      <w:r>
        <w:instrText xml:space="preserve"> HYPERLINK \l _Toc15395 </w:instrText>
      </w:r>
      <w:r>
        <w:fldChar w:fldCharType="separate"/>
      </w:r>
      <w:r>
        <w:t>4.5 安全与只读查询设计</w:t>
      </w:r>
      <w:r>
        <w:tab/>
      </w:r>
      <w:r>
        <w:fldChar w:fldCharType="begin"/>
      </w:r>
      <w:r>
        <w:instrText xml:space="preserve"> PAGEREF _Toc15395 \h </w:instrText>
      </w:r>
      <w:r>
        <w:fldChar w:fldCharType="separate"/>
      </w:r>
      <w:r>
        <w:t>18</w:t>
      </w:r>
      <w:r>
        <w:fldChar w:fldCharType="end"/>
      </w:r>
      <w:r>
        <w:fldChar w:fldCharType="end"/>
      </w:r>
    </w:p>
    <w:p w14:paraId="15EBB9A8">
      <w:pPr>
        <w:pStyle w:val="27"/>
        <w:tabs>
          <w:tab w:val="right" w:leader="dot" w:pos="9072"/>
        </w:tabs>
      </w:pPr>
      <w:r>
        <w:fldChar w:fldCharType="begin"/>
      </w:r>
      <w:r>
        <w:instrText xml:space="preserve"> HYPERLINK \l _Toc14838 </w:instrText>
      </w:r>
      <w:r>
        <w:fldChar w:fldCharType="separate"/>
      </w:r>
      <w:r>
        <w:t>5 系统实现</w:t>
      </w:r>
      <w:r>
        <w:tab/>
      </w:r>
      <w:r>
        <w:fldChar w:fldCharType="begin"/>
      </w:r>
      <w:r>
        <w:instrText xml:space="preserve"> PAGEREF _Toc14838 \h </w:instrText>
      </w:r>
      <w:r>
        <w:fldChar w:fldCharType="separate"/>
      </w:r>
      <w:r>
        <w:t>19</w:t>
      </w:r>
      <w:r>
        <w:fldChar w:fldCharType="end"/>
      </w:r>
      <w:r>
        <w:fldChar w:fldCharType="end"/>
      </w:r>
    </w:p>
    <w:p w14:paraId="09F09E92">
      <w:pPr>
        <w:pStyle w:val="30"/>
        <w:tabs>
          <w:tab w:val="right" w:leader="dot" w:pos="9072"/>
        </w:tabs>
      </w:pPr>
      <w:r>
        <w:fldChar w:fldCharType="begin"/>
      </w:r>
      <w:r>
        <w:instrText xml:space="preserve"> HYPERLINK \l _Toc6950 </w:instrText>
      </w:r>
      <w:r>
        <w:fldChar w:fldCharType="separate"/>
      </w:r>
      <w:r>
        <w:t>5.1 工程组织与基础管理实现</w:t>
      </w:r>
      <w:r>
        <w:tab/>
      </w:r>
      <w:r>
        <w:fldChar w:fldCharType="begin"/>
      </w:r>
      <w:r>
        <w:instrText xml:space="preserve"> PAGEREF _Toc6950 \h </w:instrText>
      </w:r>
      <w:r>
        <w:fldChar w:fldCharType="separate"/>
      </w:r>
      <w:r>
        <w:t>19</w:t>
      </w:r>
      <w:r>
        <w:fldChar w:fldCharType="end"/>
      </w:r>
      <w:r>
        <w:fldChar w:fldCharType="end"/>
      </w:r>
    </w:p>
    <w:p w14:paraId="6802214F">
      <w:pPr>
        <w:pStyle w:val="30"/>
        <w:tabs>
          <w:tab w:val="right" w:leader="dot" w:pos="9072"/>
        </w:tabs>
      </w:pPr>
      <w:r>
        <w:fldChar w:fldCharType="begin"/>
      </w:r>
      <w:r>
        <w:instrText xml:space="preserve"> HYPERLINK \l _Toc32074 </w:instrText>
      </w:r>
      <w:r>
        <w:fldChar w:fldCharType="separate"/>
      </w:r>
      <w:r>
        <w:t>5.2 课程资源与计划实现</w:t>
      </w:r>
      <w:r>
        <w:tab/>
      </w:r>
      <w:r>
        <w:fldChar w:fldCharType="begin"/>
      </w:r>
      <w:r>
        <w:instrText xml:space="preserve"> PAGEREF _Toc32074 \h </w:instrText>
      </w:r>
      <w:r>
        <w:fldChar w:fldCharType="separate"/>
      </w:r>
      <w:r>
        <w:t>19</w:t>
      </w:r>
      <w:r>
        <w:fldChar w:fldCharType="end"/>
      </w:r>
      <w:r>
        <w:fldChar w:fldCharType="end"/>
      </w:r>
    </w:p>
    <w:p w14:paraId="3EFFF0C0">
      <w:pPr>
        <w:pStyle w:val="30"/>
        <w:tabs>
          <w:tab w:val="right" w:leader="dot" w:pos="9072"/>
        </w:tabs>
      </w:pPr>
      <w:r>
        <w:fldChar w:fldCharType="begin"/>
      </w:r>
      <w:r>
        <w:instrText xml:space="preserve"> HYPERLINK \l _Toc17588 </w:instrText>
      </w:r>
      <w:r>
        <w:fldChar w:fldCharType="separate"/>
      </w:r>
      <w:r>
        <w:t>5.3 有效学时与补学实现</w:t>
      </w:r>
      <w:r>
        <w:tab/>
      </w:r>
      <w:r>
        <w:fldChar w:fldCharType="begin"/>
      </w:r>
      <w:r>
        <w:instrText xml:space="preserve"> PAGEREF _Toc17588 \h </w:instrText>
      </w:r>
      <w:r>
        <w:fldChar w:fldCharType="separate"/>
      </w:r>
      <w:r>
        <w:t>20</w:t>
      </w:r>
      <w:r>
        <w:fldChar w:fldCharType="end"/>
      </w:r>
      <w:r>
        <w:fldChar w:fldCharType="end"/>
      </w:r>
    </w:p>
    <w:p w14:paraId="679F2F75">
      <w:pPr>
        <w:pStyle w:val="30"/>
        <w:tabs>
          <w:tab w:val="right" w:leader="dot" w:pos="9072"/>
        </w:tabs>
      </w:pPr>
      <w:r>
        <w:fldChar w:fldCharType="begin"/>
      </w:r>
      <w:r>
        <w:instrText xml:space="preserve"> HYPERLINK \l _Toc26659 </w:instrText>
      </w:r>
      <w:r>
        <w:fldChar w:fldCharType="separate"/>
      </w:r>
      <w:r>
        <w:t>5.4 幂等与异步结果实现</w:t>
      </w:r>
      <w:r>
        <w:tab/>
      </w:r>
      <w:r>
        <w:fldChar w:fldCharType="begin"/>
      </w:r>
      <w:r>
        <w:instrText xml:space="preserve"> PAGEREF _Toc26659 \h </w:instrText>
      </w:r>
      <w:r>
        <w:fldChar w:fldCharType="separate"/>
      </w:r>
      <w:r>
        <w:t>20</w:t>
      </w:r>
      <w:r>
        <w:fldChar w:fldCharType="end"/>
      </w:r>
      <w:r>
        <w:fldChar w:fldCharType="end"/>
      </w:r>
    </w:p>
    <w:p w14:paraId="0E512843">
      <w:pPr>
        <w:pStyle w:val="30"/>
        <w:tabs>
          <w:tab w:val="right" w:leader="dot" w:pos="9072"/>
        </w:tabs>
      </w:pPr>
      <w:r>
        <w:fldChar w:fldCharType="begin"/>
      </w:r>
      <w:r>
        <w:instrText xml:space="preserve"> HYPERLINK \l _Toc1861 </w:instrText>
      </w:r>
      <w:r>
        <w:fldChar w:fldCharType="separate"/>
      </w:r>
      <w:r>
        <w:t>5.5 抽验与考试实现</w:t>
      </w:r>
      <w:r>
        <w:tab/>
      </w:r>
      <w:r>
        <w:fldChar w:fldCharType="begin"/>
      </w:r>
      <w:r>
        <w:instrText xml:space="preserve"> PAGEREF _Toc1861 \h </w:instrText>
      </w:r>
      <w:r>
        <w:fldChar w:fldCharType="separate"/>
      </w:r>
      <w:r>
        <w:t>21</w:t>
      </w:r>
      <w:r>
        <w:fldChar w:fldCharType="end"/>
      </w:r>
      <w:r>
        <w:fldChar w:fldCharType="end"/>
      </w:r>
    </w:p>
    <w:p w14:paraId="5681C0FB">
      <w:pPr>
        <w:pStyle w:val="30"/>
        <w:tabs>
          <w:tab w:val="right" w:leader="dot" w:pos="9072"/>
        </w:tabs>
      </w:pPr>
      <w:r>
        <w:fldChar w:fldCharType="begin"/>
      </w:r>
      <w:r>
        <w:instrText xml:space="preserve"> HYPERLINK \l _Toc27199 </w:instrText>
      </w:r>
      <w:r>
        <w:fldChar w:fldCharType="separate"/>
      </w:r>
      <w:r>
        <w:t>5.6 档案聚合与界面交互实现</w:t>
      </w:r>
      <w:r>
        <w:tab/>
      </w:r>
      <w:r>
        <w:fldChar w:fldCharType="begin"/>
      </w:r>
      <w:r>
        <w:instrText xml:space="preserve"> PAGEREF _Toc27199 \h </w:instrText>
      </w:r>
      <w:r>
        <w:fldChar w:fldCharType="separate"/>
      </w:r>
      <w:r>
        <w:t>22</w:t>
      </w:r>
      <w:r>
        <w:fldChar w:fldCharType="end"/>
      </w:r>
      <w:r>
        <w:fldChar w:fldCharType="end"/>
      </w:r>
    </w:p>
    <w:p w14:paraId="52BB92B6">
      <w:pPr>
        <w:pStyle w:val="27"/>
        <w:tabs>
          <w:tab w:val="right" w:leader="dot" w:pos="9072"/>
        </w:tabs>
      </w:pPr>
      <w:r>
        <w:fldChar w:fldCharType="begin"/>
      </w:r>
      <w:r>
        <w:instrText xml:space="preserve"> HYPERLINK \l _Toc10782 </w:instrText>
      </w:r>
      <w:r>
        <w:fldChar w:fldCharType="separate"/>
      </w:r>
      <w:r>
        <w:t>6 测试与结果分析</w:t>
      </w:r>
      <w:r>
        <w:tab/>
      </w:r>
      <w:r>
        <w:fldChar w:fldCharType="begin"/>
      </w:r>
      <w:r>
        <w:instrText xml:space="preserve"> PAGEREF _Toc10782 \h </w:instrText>
      </w:r>
      <w:r>
        <w:fldChar w:fldCharType="separate"/>
      </w:r>
      <w:r>
        <w:t>23</w:t>
      </w:r>
      <w:r>
        <w:fldChar w:fldCharType="end"/>
      </w:r>
      <w:r>
        <w:fldChar w:fldCharType="end"/>
      </w:r>
    </w:p>
    <w:p w14:paraId="0055B0DD">
      <w:pPr>
        <w:pStyle w:val="30"/>
        <w:tabs>
          <w:tab w:val="right" w:leader="dot" w:pos="9072"/>
        </w:tabs>
      </w:pPr>
      <w:r>
        <w:fldChar w:fldCharType="begin"/>
      </w:r>
      <w:r>
        <w:instrText xml:space="preserve"> HYPERLINK \l _Toc29264 </w:instrText>
      </w:r>
      <w:r>
        <w:fldChar w:fldCharType="separate"/>
      </w:r>
      <w:r>
        <w:t>6.1 验证设计与数据来源</w:t>
      </w:r>
      <w:r>
        <w:tab/>
      </w:r>
      <w:r>
        <w:fldChar w:fldCharType="begin"/>
      </w:r>
      <w:r>
        <w:instrText xml:space="preserve"> PAGEREF _Toc29264 \h </w:instrText>
      </w:r>
      <w:r>
        <w:fldChar w:fldCharType="separate"/>
      </w:r>
      <w:r>
        <w:t>23</w:t>
      </w:r>
      <w:r>
        <w:fldChar w:fldCharType="end"/>
      </w:r>
      <w:r>
        <w:fldChar w:fldCharType="end"/>
      </w:r>
    </w:p>
    <w:p w14:paraId="65002F90">
      <w:pPr>
        <w:pStyle w:val="30"/>
        <w:tabs>
          <w:tab w:val="right" w:leader="dot" w:pos="9072"/>
        </w:tabs>
      </w:pPr>
      <w:r>
        <w:fldChar w:fldCharType="begin"/>
      </w:r>
      <w:r>
        <w:instrText xml:space="preserve"> HYPERLINK \l _Toc31674 </w:instrText>
      </w:r>
      <w:r>
        <w:fldChar w:fldCharType="separate"/>
      </w:r>
      <w:r>
        <w:t>6.2 自动化测试结果</w:t>
      </w:r>
      <w:r>
        <w:tab/>
      </w:r>
      <w:r>
        <w:fldChar w:fldCharType="begin"/>
      </w:r>
      <w:r>
        <w:instrText xml:space="preserve"> PAGEREF _Toc31674 \h </w:instrText>
      </w:r>
      <w:r>
        <w:fldChar w:fldCharType="separate"/>
      </w:r>
      <w:r>
        <w:t>23</w:t>
      </w:r>
      <w:r>
        <w:fldChar w:fldCharType="end"/>
      </w:r>
      <w:r>
        <w:fldChar w:fldCharType="end"/>
      </w:r>
    </w:p>
    <w:p w14:paraId="7D05073F">
      <w:pPr>
        <w:pStyle w:val="30"/>
        <w:tabs>
          <w:tab w:val="right" w:leader="dot" w:pos="9072"/>
        </w:tabs>
      </w:pPr>
      <w:r>
        <w:fldChar w:fldCharType="begin"/>
      </w:r>
      <w:r>
        <w:instrText xml:space="preserve"> HYPERLINK \l _Toc3368 </w:instrText>
      </w:r>
      <w:r>
        <w:fldChar w:fldCharType="separate"/>
      </w:r>
      <w:r>
        <w:t>6.3 核心业务用例分析</w:t>
      </w:r>
      <w:r>
        <w:tab/>
      </w:r>
      <w:r>
        <w:fldChar w:fldCharType="begin"/>
      </w:r>
      <w:r>
        <w:instrText xml:space="preserve"> PAGEREF _Toc3368 \h </w:instrText>
      </w:r>
      <w:r>
        <w:fldChar w:fldCharType="separate"/>
      </w:r>
      <w:r>
        <w:t>24</w:t>
      </w:r>
      <w:r>
        <w:fldChar w:fldCharType="end"/>
      </w:r>
      <w:r>
        <w:fldChar w:fldCharType="end"/>
      </w:r>
    </w:p>
    <w:p w14:paraId="5FF5DD35">
      <w:pPr>
        <w:pStyle w:val="30"/>
        <w:tabs>
          <w:tab w:val="right" w:leader="dot" w:pos="9072"/>
        </w:tabs>
      </w:pPr>
      <w:r>
        <w:fldChar w:fldCharType="begin"/>
      </w:r>
      <w:r>
        <w:instrText xml:space="preserve"> HYPERLINK \l _Toc5321 </w:instrText>
      </w:r>
      <w:r>
        <w:fldChar w:fldCharType="separate"/>
      </w:r>
      <w:r>
        <w:t>6.4 合成计时实验与结果解释</w:t>
      </w:r>
      <w:r>
        <w:tab/>
      </w:r>
      <w:r>
        <w:fldChar w:fldCharType="begin"/>
      </w:r>
      <w:r>
        <w:instrText xml:space="preserve"> PAGEREF _Toc5321 \h </w:instrText>
      </w:r>
      <w:r>
        <w:fldChar w:fldCharType="separate"/>
      </w:r>
      <w:r>
        <w:t>25</w:t>
      </w:r>
      <w:r>
        <w:fldChar w:fldCharType="end"/>
      </w:r>
      <w:r>
        <w:fldChar w:fldCharType="end"/>
      </w:r>
    </w:p>
    <w:p w14:paraId="6DCFF7A7">
      <w:pPr>
        <w:pStyle w:val="30"/>
        <w:tabs>
          <w:tab w:val="right" w:leader="dot" w:pos="9072"/>
        </w:tabs>
      </w:pPr>
      <w:r>
        <w:fldChar w:fldCharType="begin"/>
      </w:r>
      <w:r>
        <w:instrText xml:space="preserve"> HYPERLINK \l _Toc15192 </w:instrText>
      </w:r>
      <w:r>
        <w:fldChar w:fldCharType="separate"/>
      </w:r>
      <w:r>
        <w:t>6.5 集成问题与修复验证</w:t>
      </w:r>
      <w:r>
        <w:tab/>
      </w:r>
      <w:r>
        <w:fldChar w:fldCharType="begin"/>
      </w:r>
      <w:r>
        <w:instrText xml:space="preserve"> PAGEREF _Toc15192 \h </w:instrText>
      </w:r>
      <w:r>
        <w:fldChar w:fldCharType="separate"/>
      </w:r>
      <w:r>
        <w:t>26</w:t>
      </w:r>
      <w:r>
        <w:fldChar w:fldCharType="end"/>
      </w:r>
      <w:r>
        <w:fldChar w:fldCharType="end"/>
      </w:r>
    </w:p>
    <w:p w14:paraId="75803BC6">
      <w:pPr>
        <w:pStyle w:val="30"/>
        <w:tabs>
          <w:tab w:val="right" w:leader="dot" w:pos="9072"/>
        </w:tabs>
      </w:pPr>
      <w:r>
        <w:fldChar w:fldCharType="begin"/>
      </w:r>
      <w:r>
        <w:instrText xml:space="preserve"> HYPERLINK \l _Toc31690 </w:instrText>
      </w:r>
      <w:r>
        <w:fldChar w:fldCharType="separate"/>
      </w:r>
      <w:r>
        <w:t>6.6 性能指标与尚未完成的实验</w:t>
      </w:r>
      <w:r>
        <w:tab/>
      </w:r>
      <w:r>
        <w:fldChar w:fldCharType="begin"/>
      </w:r>
      <w:r>
        <w:instrText xml:space="preserve"> PAGEREF _Toc31690 \h </w:instrText>
      </w:r>
      <w:r>
        <w:fldChar w:fldCharType="separate"/>
      </w:r>
      <w:r>
        <w:t>26</w:t>
      </w:r>
      <w:r>
        <w:fldChar w:fldCharType="end"/>
      </w:r>
      <w:r>
        <w:fldChar w:fldCharType="end"/>
      </w:r>
    </w:p>
    <w:p w14:paraId="740F9628">
      <w:pPr>
        <w:pStyle w:val="27"/>
        <w:tabs>
          <w:tab w:val="right" w:leader="dot" w:pos="9072"/>
        </w:tabs>
      </w:pPr>
      <w:r>
        <w:fldChar w:fldCharType="begin"/>
      </w:r>
      <w:r>
        <w:instrText xml:space="preserve"> HYPERLINK \l _Toc6342 </w:instrText>
      </w:r>
      <w:r>
        <w:fldChar w:fldCharType="separate"/>
      </w:r>
      <w:r>
        <w:t>7 总结与展望</w:t>
      </w:r>
      <w:r>
        <w:tab/>
      </w:r>
      <w:r>
        <w:fldChar w:fldCharType="begin"/>
      </w:r>
      <w:r>
        <w:instrText xml:space="preserve"> PAGEREF _Toc6342 \h </w:instrText>
      </w:r>
      <w:r>
        <w:fldChar w:fldCharType="separate"/>
      </w:r>
      <w:r>
        <w:t>29</w:t>
      </w:r>
      <w:r>
        <w:fldChar w:fldCharType="end"/>
      </w:r>
      <w:r>
        <w:fldChar w:fldCharType="end"/>
      </w:r>
    </w:p>
    <w:p w14:paraId="2BA87B22">
      <w:pPr>
        <w:pStyle w:val="30"/>
        <w:tabs>
          <w:tab w:val="right" w:leader="dot" w:pos="9072"/>
        </w:tabs>
      </w:pPr>
      <w:r>
        <w:fldChar w:fldCharType="begin"/>
      </w:r>
      <w:r>
        <w:instrText xml:space="preserve"> HYPERLINK \l _Toc30410 </w:instrText>
      </w:r>
      <w:r>
        <w:fldChar w:fldCharType="separate"/>
      </w:r>
      <w:r>
        <w:t>7.1 研究总结</w:t>
      </w:r>
      <w:r>
        <w:tab/>
      </w:r>
      <w:r>
        <w:fldChar w:fldCharType="begin"/>
      </w:r>
      <w:r>
        <w:instrText xml:space="preserve"> PAGEREF _Toc30410 \h </w:instrText>
      </w:r>
      <w:r>
        <w:fldChar w:fldCharType="separate"/>
      </w:r>
      <w:r>
        <w:t>29</w:t>
      </w:r>
      <w:r>
        <w:fldChar w:fldCharType="end"/>
      </w:r>
      <w:r>
        <w:fldChar w:fldCharType="end"/>
      </w:r>
    </w:p>
    <w:p w14:paraId="7672F888">
      <w:pPr>
        <w:pStyle w:val="30"/>
        <w:tabs>
          <w:tab w:val="right" w:leader="dot" w:pos="9072"/>
        </w:tabs>
      </w:pPr>
      <w:r>
        <w:fldChar w:fldCharType="begin"/>
      </w:r>
      <w:r>
        <w:instrText xml:space="preserve"> HYPERLINK \l _Toc3594 </w:instrText>
      </w:r>
      <w:r>
        <w:fldChar w:fldCharType="separate"/>
      </w:r>
      <w:r>
        <w:t>7.2 局限与后续工作</w:t>
      </w:r>
      <w:r>
        <w:tab/>
      </w:r>
      <w:r>
        <w:fldChar w:fldCharType="begin"/>
      </w:r>
      <w:r>
        <w:instrText xml:space="preserve"> PAGEREF _Toc3594 \h </w:instrText>
      </w:r>
      <w:r>
        <w:fldChar w:fldCharType="separate"/>
      </w:r>
      <w:r>
        <w:t>29</w:t>
      </w:r>
      <w:r>
        <w:fldChar w:fldCharType="end"/>
      </w:r>
      <w:r>
        <w:fldChar w:fldCharType="end"/>
      </w:r>
    </w:p>
    <w:p w14:paraId="415C0671">
      <w:pPr>
        <w:pStyle w:val="27"/>
        <w:tabs>
          <w:tab w:val="right" w:leader="dot" w:pos="9072"/>
        </w:tabs>
      </w:pPr>
      <w:r>
        <w:fldChar w:fldCharType="begin"/>
      </w:r>
      <w:r>
        <w:instrText xml:space="preserve"> HYPERLINK \l _Toc978 </w:instrText>
      </w:r>
      <w:r>
        <w:fldChar w:fldCharType="separate"/>
      </w:r>
      <w:r>
        <w:t>致谢</w:t>
      </w:r>
      <w:r>
        <w:tab/>
      </w:r>
      <w:r>
        <w:fldChar w:fldCharType="begin"/>
      </w:r>
      <w:r>
        <w:instrText xml:space="preserve"> PAGEREF _Toc978 \h </w:instrText>
      </w:r>
      <w:r>
        <w:fldChar w:fldCharType="separate"/>
      </w:r>
      <w:r>
        <w:t>31</w:t>
      </w:r>
      <w:r>
        <w:fldChar w:fldCharType="end"/>
      </w:r>
      <w:r>
        <w:fldChar w:fldCharType="end"/>
      </w:r>
    </w:p>
    <w:p w14:paraId="2D90CF8D">
      <w:pPr>
        <w:pStyle w:val="27"/>
        <w:tabs>
          <w:tab w:val="right" w:leader="dot" w:pos="9072"/>
        </w:tabs>
      </w:pPr>
      <w:r>
        <w:fldChar w:fldCharType="begin"/>
      </w:r>
      <w:r>
        <w:instrText xml:space="preserve"> HYPERLINK \l _Toc16783 </w:instrText>
      </w:r>
      <w:r>
        <w:fldChar w:fldCharType="separate"/>
      </w:r>
      <w:r>
        <w:t>参考文献</w:t>
      </w:r>
      <w:r>
        <w:tab/>
      </w:r>
      <w:r>
        <w:fldChar w:fldCharType="begin"/>
      </w:r>
      <w:r>
        <w:instrText xml:space="preserve"> PAGEREF _Toc16783 \h </w:instrText>
      </w:r>
      <w:r>
        <w:fldChar w:fldCharType="separate"/>
      </w:r>
      <w:r>
        <w:t>32</w:t>
      </w:r>
      <w:r>
        <w:fldChar w:fldCharType="end"/>
      </w:r>
      <w:r>
        <w:fldChar w:fldCharType="end"/>
      </w:r>
    </w:p>
    <w:p w14:paraId="78055F46">
      <w:pPr>
        <w:pStyle w:val="27"/>
        <w:tabs>
          <w:tab w:val="right" w:leader="dot" w:pos="9072"/>
        </w:tabs>
      </w:pPr>
      <w:r>
        <w:fldChar w:fldCharType="begin"/>
      </w:r>
      <w:r>
        <w:instrText xml:space="preserve"> HYPERLINK \l _Toc30215 </w:instrText>
      </w:r>
      <w:r>
        <w:fldChar w:fldCharType="separate"/>
      </w:r>
      <w:r>
        <w:t>附录A 项目证据与复现入口</w:t>
      </w:r>
      <w:r>
        <w:tab/>
      </w:r>
      <w:r>
        <w:fldChar w:fldCharType="begin"/>
      </w:r>
      <w:r>
        <w:instrText xml:space="preserve"> PAGEREF _Toc30215 \h </w:instrText>
      </w:r>
      <w:r>
        <w:fldChar w:fldCharType="separate"/>
      </w:r>
      <w:r>
        <w:t>34</w:t>
      </w:r>
      <w:r>
        <w:fldChar w:fldCharType="end"/>
      </w:r>
      <w:r>
        <w:fldChar w:fldCharType="end"/>
      </w:r>
    </w:p>
    <w:p w14:paraId="19CC094E">
      <w:pPr>
        <w:pStyle w:val="30"/>
        <w:tabs>
          <w:tab w:val="right" w:leader="dot" w:pos="9072"/>
        </w:tabs>
      </w:pPr>
      <w:r>
        <w:fldChar w:fldCharType="begin"/>
      </w:r>
      <w:r>
        <w:instrText xml:space="preserve"> HYPERLINK \l _Toc28356 </w:instrText>
      </w:r>
      <w:r>
        <w:fldChar w:fldCharType="separate"/>
      </w:r>
      <w:r>
        <w:t>A.1 业务与实现</w:t>
      </w:r>
      <w:r>
        <w:tab/>
      </w:r>
      <w:r>
        <w:fldChar w:fldCharType="begin"/>
      </w:r>
      <w:r>
        <w:instrText xml:space="preserve"> PAGEREF _Toc28356 \h </w:instrText>
      </w:r>
      <w:r>
        <w:fldChar w:fldCharType="separate"/>
      </w:r>
      <w:r>
        <w:t>34</w:t>
      </w:r>
      <w:r>
        <w:fldChar w:fldCharType="end"/>
      </w:r>
      <w:r>
        <w:fldChar w:fldCharType="end"/>
      </w:r>
    </w:p>
    <w:p w14:paraId="474C5812">
      <w:pPr>
        <w:pStyle w:val="30"/>
        <w:tabs>
          <w:tab w:val="right" w:leader="dot" w:pos="9072"/>
        </w:tabs>
      </w:pPr>
      <w:r>
        <w:fldChar w:fldCharType="begin"/>
      </w:r>
      <w:r>
        <w:instrText xml:space="preserve"> HYPERLINK \l _Toc25739 </w:instrText>
      </w:r>
      <w:r>
        <w:fldChar w:fldCharType="separate"/>
      </w:r>
      <w:r>
        <w:t>A.2 测试与数据</w:t>
      </w:r>
      <w:r>
        <w:tab/>
      </w:r>
      <w:r>
        <w:fldChar w:fldCharType="begin"/>
      </w:r>
      <w:r>
        <w:instrText xml:space="preserve"> PAGEREF _Toc25739 \h </w:instrText>
      </w:r>
      <w:r>
        <w:fldChar w:fldCharType="separate"/>
      </w:r>
      <w:r>
        <w:t>34</w:t>
      </w:r>
      <w:r>
        <w:fldChar w:fldCharType="end"/>
      </w:r>
      <w:r>
        <w:fldChar w:fldCharType="end"/>
      </w:r>
    </w:p>
    <w:p w14:paraId="6C360455">
      <w:pPr>
        <w:pStyle w:val="30"/>
        <w:tabs>
          <w:tab w:val="right" w:leader="dot" w:pos="9072"/>
        </w:tabs>
      </w:pPr>
      <w:r>
        <w:fldChar w:fldCharType="begin"/>
      </w:r>
      <w:r>
        <w:instrText xml:space="preserve"> HYPERLINK \l _Toc15340 </w:instrText>
      </w:r>
      <w:r>
        <w:fldChar w:fldCharType="separate"/>
      </w:r>
      <w:r>
        <w:t>A.3 待开展实验</w:t>
      </w:r>
      <w:r>
        <w:tab/>
      </w:r>
      <w:r>
        <w:fldChar w:fldCharType="begin"/>
      </w:r>
      <w:r>
        <w:instrText xml:space="preserve"> PAGEREF _Toc15340 \h </w:instrText>
      </w:r>
      <w:r>
        <w:fldChar w:fldCharType="separate"/>
      </w:r>
      <w:r>
        <w:t>34</w:t>
      </w:r>
      <w:r>
        <w:fldChar w:fldCharType="end"/>
      </w:r>
      <w:r>
        <w:fldChar w:fldCharType="end"/>
      </w:r>
    </w:p>
    <w:p w14:paraId="2E8E98B3">
      <w:pPr>
        <w:pStyle w:val="27"/>
        <w:tabs>
          <w:tab w:val="right" w:leader="dot" w:pos="9072"/>
        </w:tabs>
      </w:pPr>
      <w:r>
        <w:fldChar w:fldCharType="begin"/>
      </w:r>
      <w:r>
        <w:instrText xml:space="preserve"> HYPERLINK \l _Toc16796 </w:instrText>
      </w:r>
      <w:r>
        <w:fldChar w:fldCharType="separate"/>
      </w:r>
      <w:r>
        <w:t>附录B 初稿排版约定与待补信息</w:t>
      </w:r>
      <w:r>
        <w:tab/>
      </w:r>
      <w:r>
        <w:fldChar w:fldCharType="begin"/>
      </w:r>
      <w:r>
        <w:instrText xml:space="preserve"> PAGEREF _Toc16796 \h </w:instrText>
      </w:r>
      <w:r>
        <w:fldChar w:fldCharType="separate"/>
      </w:r>
      <w:r>
        <w:t>35</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27643"/>
      <w:r>
        <w:t>摘要</w:t>
      </w:r>
      <w:bookmarkEnd w:id="0"/>
    </w:p>
    <w:p w14:paraId="077D30AC">
      <w:pPr>
        <w:jc w:val="both"/>
      </w:pPr>
      <w:r>
        <w:t>道路运输企业在线培训需要记录学员参加的课程、有效学时、身份抽验和考核结果，浏览器播放进度与课程完成标记难以单独说明培训过程。针对重复上报、网络中断、跨服务状态同步和历史档案查询等问题，本研究以企业培训平台为对象，采用业务建模、方案比较、源码核查和分层测试方法，设计并实现基于Dubbo的在线培训系统。系统以发布快照固定课程规则，通过服务端时间与媒体位置共同约束有效学时，利用本地事务和Outbox传递学习结果，并以独立抽验任务保留零提交超时记录。</w:t>
      </w:r>
      <w:r>
        <w:rPr>
          <w:rFonts w:ascii="宋体" w:hAnsi="宋体" w:eastAsia="宋体" w:cs="宋体"/>
          <w:sz w:val="24"/>
          <w:szCs w:val="24"/>
        </w:rPr>
        <w:t>系统测试结果表明，核心业务链路及数据库集成场景能够按预期运行；在模拟网络抖动场景下，100秒媒体播放累计95秒有效学时，能够识别播放异常造成的学时损失，并支持课件结束后的继续补学。系统形成了从培训任务、学习会话、过程事件到学习成绩的完整查询链路，支持企业范围内的数据隔离与历史记录只读访问。研究结果表明，本文方案能够实现在线培训过程的有效学时计算、异常学习识别和结果留痕，可为企业在线培训过程监管与结果追溯提供实现参考</w:t>
      </w:r>
      <w:r>
        <w:t>。</w:t>
      </w:r>
    </w:p>
    <w:p w14:paraId="3F21F295">
      <w:pPr>
        <w:spacing w:before="240"/>
        <w:ind w:firstLine="0"/>
      </w:pPr>
      <w:r>
        <w:rPr>
          <w:b/>
        </w:rPr>
        <w:t>关键词：</w:t>
      </w:r>
      <w:r>
        <w:t>道路运输培训；微服务；有效学时；最终一致性；培训档案</w:t>
      </w:r>
    </w:p>
    <w:p w14:paraId="04D340F2">
      <w:r>
        <w:br w:type="page"/>
      </w:r>
    </w:p>
    <w:p w14:paraId="24121850">
      <w:pPr>
        <w:pStyle w:val="3"/>
        <w:spacing w:after="360"/>
      </w:pPr>
      <w:bookmarkStart w:id="1" w:name="_Toc14631"/>
      <w:r>
        <w:t>Abstract</w:t>
      </w:r>
      <w:bookmarkEnd w:id="1"/>
    </w:p>
    <w:p w14:paraId="6B17273F">
      <w:pPr>
        <w:pStyle w:val="168"/>
      </w:pPr>
      <w:r>
        <w:t>Online</w:t>
      </w:r>
      <w:r>
        <w:rPr>
          <w:rFonts w:hint="eastAsia"/>
        </w:rPr>
        <w:t xml:space="preserve"> training for road transport enterprises requires records of the courses attended by trainees, credited learning time, identity verification checks, and assessment results. Browser playback progress and course completion markers alone are insufficient to fully represent the training process. To address issues such as duplicate reporting, network interruptions, cross-service state synchronization, and historical record retrieval, this study takes an enterprise training platform as the research object and adopts business modelling, solution comparison, source code inspection, and layered testing to design and implement an online training system based on Dubbo. The system uses published snapshots to preserve course rules, jointly constrains credited learning time through server-side elapsed time and media position, propagates learning outcomes through local transactions and a transactional Outbox mechanism, and employs independent identity verification tasks to retain timeout records </w:t>
      </w:r>
      <w:bookmarkStart w:id="55" w:name="_GoBack"/>
      <w:bookmarkEnd w:id="55"/>
      <w:r>
        <w:rPr>
          <w:rFonts w:hint="eastAsia"/>
        </w:rPr>
        <w:t>even when no verification submission is made. System testing shows that the core business workflows and database integration scenarios operate as expected. Under simulated network jitter, 100 seconds of media playback resulted in 95 seconds of credited learning time, enabling the system to identify learning-time loss caused by playback abnormalities and support supplementary learning after the courseware reaches its end. The system establishes a complete query chain from training tasks and learning sessions to process events and learning results, while supporting enterprise-level data isolation and read-only access to historical records. The results indicate that the proposed solution can effectively support credited learning-time calculation, abnormal learning detection, and training-result traceability in online training, providing a practical implementation reference for enterprise training-process supervision and result trackin</w:t>
      </w:r>
      <w:r>
        <w:rPr>
          <w:rFonts w:hint="eastAsia"/>
          <w:lang w:val="en-US" w:eastAsia="zh-CN"/>
        </w:rPr>
        <w:t>g</w:t>
      </w:r>
      <w:r>
        <w:t>.</w:t>
      </w:r>
    </w:p>
    <w:p w14:paraId="531E9AB2">
      <w:pPr>
        <w:spacing w:before="240"/>
        <w:ind w:firstLine="0"/>
      </w:pPr>
      <w:r>
        <w:rPr>
          <w:b/>
        </w:rPr>
        <w:t xml:space="preserve">Key words: </w:t>
      </w:r>
      <w:r>
        <w:t>road transport training; microservices; credited</w:t>
      </w:r>
      <w:r>
        <w:rPr>
          <w:rFonts w:hint="eastAsia"/>
          <w:lang w:val="en-US" w:eastAsia="zh-CN"/>
        </w:rPr>
        <w:t xml:space="preserve"> </w:t>
      </w:r>
      <w:r>
        <w:t>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21515"/>
      <w:r>
        <w:t>1 绪论</w:t>
      </w:r>
      <w:bookmarkEnd w:id="2"/>
    </w:p>
    <w:p w14:paraId="19AF7F0C">
      <w:pPr>
        <w:pStyle w:val="4"/>
        <w:pageBreakBefore w:val="0"/>
      </w:pPr>
      <w:bookmarkStart w:id="3" w:name="_Toc1877"/>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阶段验收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7"/>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17135"/>
      <w:r>
        <w:t>1.3 国内外相关研究进展</w:t>
      </w:r>
      <w:bookmarkEnd w:id="5"/>
    </w:p>
    <w:p w14:paraId="33E20F01">
      <w:pPr>
        <w:jc w:val="both"/>
      </w:pPr>
      <w:r>
        <w:t>在线培训研究同时涉及教学效果、过程记录和系统可靠性。与本项目直接相关的工作可归纳为职业安全培训、学习分析、身份核验和服务协同四个方向。以下八项研究说明了这些方向能够提供的依据，也展示了不能直接迁移到本项目的结论边界。</w:t>
      </w:r>
    </w:p>
    <w:p w14:paraId="42EED13E">
      <w:pPr>
        <w:jc w:val="both"/>
      </w:pPr>
      <w:r>
        <w:t>2022年，Duarte Hernández与Gómez Gómez对385名教师开展在线防跌倒培训的纵向观察，分析学习环境访问、课程通过及事故指标。研究记录到85.5%的课程通过率，但前后年度事故频率与严重程度未出现显著差异。</w:t>
      </w:r>
      <w:r>
        <w:rPr>
          <w:vertAlign w:val="superscript"/>
        </w:rPr>
        <w:t>[3]</w:t>
      </w:r>
      <w:r>
        <w:t>这说明平台中的“通过课程”和工作环境中的“安全结果改善”需要分别评价。该研究对象为教师，且采用观察设计，无法直接推断道路运输驾驶员的培训效果；其启示是先准确保存培训过程，再用独立研究评价岗位结果。</w:t>
      </w:r>
    </w:p>
    <w:p w14:paraId="41B9B372">
      <w:pPr>
        <w:jc w:val="both"/>
      </w:pPr>
      <w:r>
        <w:t>2024年，Pradhan等分析245名长途卡车驾驶员37周的超速记录，通过聚类区分驾驶风险群体，并比较行为反馈条件。高风险群体中接受实时和事后反馈者的超速下降较明显，但无反馈组也出现下降，监督指导方式与驾驶员背景资料亦存在限制。</w:t>
      </w:r>
      <w:r>
        <w:rPr>
          <w:vertAlign w:val="superscript"/>
        </w:rPr>
        <w:t>[4]</w:t>
      </w:r>
      <w:r>
        <w:t>这项研究与道路运输对象接近，强调持续记录和后续反馈的重要性；它使用真实驾驶行为数据，而本项目只记录培训过程，因此不能把其效果移作平台的实测成果。</w:t>
      </w:r>
    </w:p>
    <w:p w14:paraId="32DBA28E">
      <w:pPr>
        <w:jc w:val="both"/>
      </w:pPr>
      <w:r>
        <w:t>2024年，Paulsen与Lindsay对39篇高等教育学习分析仪表板研究进行系统综述，发现仪表板逐渐纳入教育理论、反馈和学习建议，描述性统计仍占重要位置，实际效果验证存在范围限制。</w:t>
      </w:r>
      <w:r>
        <w:rPr>
          <w:vertAlign w:val="superscript"/>
        </w:rPr>
        <w:t>[5]</w:t>
      </w:r>
      <w:r>
        <w:t>对本项目而言，仅展示累计时长不能充分帮助学员理解进度，剩余学时、异常原因和可执行的补学入口应与数据一起呈现。不过，界面提供反馈不必然提高学习成绩，是否有效仍需结合目标群体评估。</w:t>
      </w:r>
    </w:p>
    <w:p w14:paraId="4C107365">
      <w:pPr>
        <w:jc w:val="both"/>
      </w:pPr>
      <w:r>
        <w:t>同年，Pan等综述2012年至2023年的27项学习管理系统实证研究，讨论日志支持的仪表板、提示和推荐等干预。研究指出次数与时长是常见分析对象，文本等数据的应用及长期效果验证仍有不足。</w:t>
      </w:r>
      <w:r>
        <w:rPr>
          <w:vertAlign w:val="superscript"/>
        </w:rPr>
        <w:t>[6]</w:t>
      </w:r>
      <w:r>
        <w:t>其结果提示过程日志具有分析价值，但时间记录只是学习活动的一个侧面。本项目据此分别保存学时、抽验和考试结果，避免把在线时长直接命名为学习效果。</w:t>
      </w:r>
    </w:p>
    <w:p w14:paraId="574CF5DD">
      <w:pPr>
        <w:jc w:val="both"/>
      </w:pPr>
      <w:r>
        <w:t>2022年，Kaddoura等围绕考前、考中与考后三个阶段整理机器学习在在线学习和考试系统中的应用，涉及身份认证、监考、异常识别和评分，同时讨论隐私、安全与公平问题。</w:t>
      </w:r>
      <w:r>
        <w:rPr>
          <w:vertAlign w:val="superscript"/>
        </w:rPr>
        <w:t>[7]</w:t>
      </w:r>
      <w:r>
        <w:t>该研究提供的是方法分类，没有一个可以通用于所有平台的识别准确率。对本项目的启示是将模型判断与考试业务流程分离：相似度输出用于具体核验任务，任务是否超时、能否重试和成绩怎样形成仍由业务规则决定。</w:t>
      </w:r>
    </w:p>
    <w:p w14:paraId="2EFE2C63">
      <w:pPr>
        <w:jc w:val="both"/>
      </w:pPr>
      <w:r>
        <w:t>2025年，Heinrich对33个在线监考系统的公开说明进行系统叙事综述，发现有关数据处理、安全性及人工智能用途的公开信息存在缺口，并讨论身份资料和异常标记的标准化。</w:t>
      </w:r>
      <w:r>
        <w:rPr>
          <w:vertAlign w:val="superscript"/>
        </w:rPr>
        <w:t>[8]</w:t>
      </w:r>
      <w:r>
        <w:t>研究材料主要来自产品公开描述，不能视为对每个系统开展了安全实测。其价值在于指出技术能力必须附带可解释的数据流程。本项目将抽验任务与提交记录分别保存，并限制档案返回字段，正是为了让异常具有明确来源；人工复核与替代验证仍需完善。</w:t>
      </w:r>
    </w:p>
    <w:p w14:paraId="5AF11EFD">
      <w:pPr>
        <w:jc w:val="both"/>
      </w:pPr>
      <w:r>
        <w:t>国内研究中，张齐勋等于2024年从监控数据、系统日志和分布式追踪等来源梳理微服务依赖发现技术，区分调用依赖与逻辑依赖，并说明相关性判断的局限。</w:t>
      </w:r>
      <w:r>
        <w:rPr>
          <w:vertAlign w:val="superscript"/>
        </w:rPr>
        <w:t>[9]</w:t>
      </w:r>
      <w:r>
        <w:t>该研究表明服务拆分后，仅有模块名称不足以支持故障定位，还需要了解一次请求和一个业务结果经过哪些服务。本文因此围绕任务、会话与事件标识分析调用关系；当前实现并未开展自动依赖发现，不能将综述中的运维能力写成项目已有功能。</w:t>
      </w:r>
    </w:p>
    <w:p w14:paraId="345388AA">
      <w:pPr>
        <w:jc w:val="both"/>
      </w:pPr>
      <w:r>
        <w:t>2026年，Bação与Guerreiro将事件驱动微服务的一致性问题划分为数据、流程和系统演化三个层面，整理最终一致性、补偿和契约管理等应对方案，并指出文献检索来源及分类验证的限制。</w:t>
      </w:r>
      <w:r>
        <w:rPr>
          <w:vertAlign w:val="superscript"/>
        </w:rPr>
        <w:t>[10]</w:t>
      </w:r>
      <w:r>
        <w:t>这一划分适合解释培训任务的异步变化：消息送达只解决传播的一部分，重复消费、迟到事件和状态回退还涉及业务流程。本文采用本地事务、Outbox与状态检查组合处理，而不以“已经使用消息队列”代替一致性论证。</w:t>
      </w:r>
    </w:p>
    <w:p w14:paraId="6E2567BF">
      <w:pPr>
        <w:jc w:val="both"/>
      </w:pPr>
      <w:r>
        <w:t>上述研究各有侧重。职业安全培训研究重视实际行为和事故结果，学习分析研究重视反馈与解释，监考研究关注身份及信息处理，微服务研究则分析跨模块状态协调。它们不能相互替代，也没有直接给出本项目可照搬的端到端实现。本文的工作重点是将这些问题落实到一个企业培训原型：以发布快照固定规则，以保守计时和补学处理进度边界，以抽验任务保留未响应事实，以幂等事件维护结果，再用分层测试说明各项结论的适用条件。</w:t>
      </w:r>
    </w:p>
    <w:p w14:paraId="790E0FF2">
      <w:pPr>
        <w:pStyle w:val="4"/>
        <w:pageBreakBefore w:val="0"/>
      </w:pPr>
      <w:bookmarkStart w:id="6" w:name="_Toc1331"/>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按形成方式区分为领域规则测试、数据库和消息组件集成测试、浏览器接口契约测试、真实接口回归及待开展的真实媒体实验。同一结果只在对应范围内使用，重复运行不累加为额外样本。本文的实现说明核对至2026年9月13日提交96a8d84，测试结果仍以9月9日存档验收为依据；后续代码的静态核查不代表这些测试已经在新版本重新执行。</w:t>
      </w:r>
    </w:p>
    <w:p w14:paraId="61374BD7">
      <w:pPr>
        <w:jc w:val="both"/>
      </w:pPr>
      <w:r>
        <w:t>全文共七章。第一章说明问题、目标与相关研究；第二章介绍服务边界、状态机和消息一致性等方法；第三章确定业务需求与约束；第四章给出架构、数据模型及核心流程；第五章分析关键功能实现；第六章比较测试结果并解释证据边界；第七章归纳完成的工作及后续验证方向。</w:t>
      </w:r>
    </w:p>
    <w:p w14:paraId="1F1A84DD">
      <w:pPr>
        <w:pStyle w:val="3"/>
        <w:pageBreakBefore/>
      </w:pPr>
      <w:bookmarkStart w:id="7" w:name="_Toc10144"/>
      <w:r>
        <w:t>2 相关理论与关键技术</w:t>
      </w:r>
      <w:bookmarkEnd w:id="7"/>
    </w:p>
    <w:p w14:paraId="3AF31D26">
      <w:pPr>
        <w:pStyle w:val="4"/>
        <w:pageBreakBefore w:val="0"/>
      </w:pPr>
      <w:bookmarkStart w:id="8" w:name="_Toc9758"/>
      <w:r>
        <w:t>2.1 服务边界与远程调用</w:t>
      </w:r>
      <w:bookmarkEnd w:id="8"/>
    </w:p>
    <w:p w14:paraId="15BD2FF3">
      <w:pPr>
        <w:jc w:val="both"/>
      </w:pPr>
      <w:r>
        <w:t>在线培训的业务对象具有不同的变更节奏。组织、用户和权限主要在管理操作中变化，课程和培训计划围绕发布与分配变化，学习会话则持续接收进度事件。将三类对象放在同一服务中能够减少部署节点和远程调用，但也容易让高频学习逻辑与低频管理逻辑共享过多实现细节。本项目采用按业务职责划分的服务边界，分别维护管理、培训和学习数据。</w:t>
      </w:r>
    </w:p>
    <w:p w14:paraId="0A84C649">
      <w:pPr>
        <w:jc w:val="both"/>
      </w:pPr>
      <w:r>
        <w:t>Dubbo通过服务接口连接调用方与提供方，配合注册发现完成远程调用。</w:t>
      </w:r>
      <w:r>
        <w:rPr>
          <w:vertAlign w:val="superscript"/>
        </w:rPr>
        <w:t>[11]</w:t>
      </w:r>
      <w:r>
        <w:t>在本项目中，接口模块统一声明请求和返回类型，业务服务实现具体规则，Web API负责面向页面的接口组合。RPC返回值采用具有明确泛型的Result结构，调用方先判断业务结果，再读取数据。服务拆分并不自动提升性能；只有边界清楚、调用粒度适当时，才能减少跨模块依赖对后续修改的影响。</w:t>
      </w:r>
    </w:p>
    <w:p w14:paraId="34483B48">
      <w:pPr>
        <w:jc w:val="both"/>
      </w:pPr>
      <w:r>
        <w:t>Michael Ayas等通过访谈和开发者讨论研究微服务迁移，指出服务拆分还依赖业务理解、部署、测试和监控条件。</w:t>
      </w:r>
      <w:r>
        <w:rPr>
          <w:vertAlign w:val="superscript"/>
        </w:rPr>
        <w:t>[12]</w:t>
      </w:r>
      <w:r>
        <w:t>这一经验提示本项目应先明确数据所有权，再决定调用关系。对于查询页面，逐行跨服务读取可能造成请求数量随列表长度增长。项目以当前页任务集合为输入，批量查询学习进度，再在Web API完成组合。这一处理把远程请求数量与页面记录数适度分离，同时保持各服务对自身数据的解释权。由于缺少相同负载下的前后耗时实测，本文将其视为控制调用规模的设计，而不声称响应时间已经降低某一比例。</w:t>
      </w:r>
    </w:p>
    <w:p w14:paraId="4370E6A9">
      <w:pPr>
        <w:pStyle w:val="4"/>
        <w:pageBreakBefore w:val="0"/>
      </w:pPr>
      <w:bookmarkStart w:id="9" w:name="_Toc21770"/>
      <w:r>
        <w:t>2.2 状态机与有效学时</w:t>
      </w:r>
      <w:bookmarkEnd w:id="9"/>
    </w:p>
    <w:p w14:paraId="1DA4AFB2">
      <w:pPr>
        <w:jc w:val="both"/>
      </w:pPr>
      <w:r>
        <w:t>状态机用有限的状态和受条件约束的转换表示学习过程。视频播放、暂停、身份核验和完成之间存在业务约束：处于抽验等待状态时不能继续增加学时，已经关闭的会话不能因迟到消息恢复为播放状态，断线重连后也不能直接沿用浏览器缓存的旧状态。将这些条件集中到服务端，有助于避免多个接口分别修改状态而出现相互矛盾的结果。</w:t>
      </w:r>
    </w:p>
    <w:p w14:paraId="0DAEF539">
      <w:pPr>
        <w:jc w:val="both"/>
      </w:pPr>
      <w:r>
        <w:t>有效学时是符合规则的时间累计量，与页面停留时间、媒体总时长和学习效果均有区别。页面停留不能证明视频持续播放，播放到结尾也不能保证所有区间都被合法计入；即使满足学时要求，也不能据此证明学员理解了全部内容。因此，系统分别维护播放位置、有效学时和考试成绩。学习完成规则检查前两者形成的任务条件，考试结果作为需要考核的计划模式下的另一项条件。</w:t>
      </w:r>
    </w:p>
    <w:p w14:paraId="6D37BB31">
      <w:pPr>
        <w:jc w:val="both"/>
      </w:pPr>
      <w:r>
        <w:t>对于符合状态及顺序要求的进度区间，设服务端相邻确认时间差为Δt，媒体位置非负增量为Δp，允许的最大上报间隔为G，剩余规定学时为R，计入量可表示为式（2-1）。如果状态不允许计时、时间间隔超过G或者位置变化违反防拖动规则，则进入拒绝或零计时分支，而不直接套用最小值公式。</w:t>
      </w:r>
    </w:p>
    <w:p w14:paraId="38687CA8">
      <w:pPr>
        <w:ind w:firstLine="0"/>
        <w:jc w:val="center"/>
      </w:pPr>
      <m:oMath>
        <m:r>
          <m:rPr/>
          <m:t>Δτ = min{max(0, Δt), max(0, Δp), G, max(0, R)}</m:t>
        </m:r>
      </m:oMath>
      <w:r>
        <w:t xml:space="preserve">    （2-1）</w:t>
      </w:r>
    </w:p>
    <w:p w14:paraId="719C15E6">
      <w:pPr>
        <w:jc w:val="both"/>
      </w:pPr>
      <w:r>
        <w:t>公式体现保守累计原则。网络抖动使某段媒体位置增加10秒而服务端仅经过9秒时，该段最多计入9秒；相邻下一段经过11秒而位置增加10秒时最多计入10秒，前一段少计的时间不会自动补回。容差用于判断位置变化是否合理，并不作为附加学时。此规则降低了客户端异常增长被直接计入的可能性，也带来了正常播放后仍可能需要补学的体验代价。</w:t>
      </w:r>
    </w:p>
    <w:p w14:paraId="024523B7">
      <w:pPr>
        <w:pStyle w:val="4"/>
        <w:pageBreakBefore w:val="0"/>
      </w:pPr>
      <w:bookmarkStart w:id="10" w:name="_Toc30210"/>
      <w:r>
        <w:t>2.3 本地事务与消息最终一致性</w:t>
      </w:r>
      <w:bookmarkEnd w:id="10"/>
    </w:p>
    <w:p w14:paraId="514488BE">
      <w:pPr>
        <w:jc w:val="both"/>
      </w:pPr>
      <w:r>
        <w:t>数据库事务能够在单个业务库中保证一组更新共同提交或回滚，不能直接保证另一个服务同时完成处理。黄纯悦等的综述从多副本架构、一致性维护和跨节点并发控制讨论分布式事务技术。</w:t>
      </w:r>
      <w:r>
        <w:rPr>
          <w:vertAlign w:val="superscript"/>
        </w:rPr>
        <w:t>[13]</w:t>
      </w:r>
      <w:r>
        <w:t>数据库副本一致性与业务事件一致性处于不同层面，本项目采用的Outbox不实现该类数据库系统的复制协议。假设学习服务先保存进度，再向消息代理发送完成事件，进度提交后进程退出会留下尚未通知培训服务的状态；如果先发送事件再提交进度，消费端又可能看到尚未成立的完成结果。问题来自数据库写入与消息发送之间缺少共同提交点。</w:t>
      </w:r>
    </w:p>
    <w:p w14:paraId="5933D0A4">
      <w:pPr>
        <w:jc w:val="both"/>
      </w:pPr>
      <w:r>
        <w:t>事务性Outbox模式把业务更新和待发送事件写入同一数据库事务，随后由独立发送过程转发事件。</w:t>
      </w:r>
      <w:r>
        <w:rPr>
          <w:vertAlign w:val="superscript"/>
        </w:rPr>
        <w:t>[14]</w:t>
      </w:r>
      <w:r>
        <w:t>项目据此将学时、受理事件和消息记录在学习库中共同保存。发送失败后保留可重试记录，消费端使用事件标识去重。该模式接受短暂的状态传播延迟，以本地事务和重试机制减少消息遗漏；发送器恢复、消费去重和异常记录都属于其必要组成部分。</w:t>
      </w:r>
    </w:p>
    <w:p w14:paraId="6017390D">
      <w:pPr>
        <w:jc w:val="both"/>
      </w:pPr>
      <w:r>
        <w:t>消息代理确认与消费确认具有不同含义。RabbitMQ的发布确认用于反馈代理是否接收处理发布消息，不能单独证明消息已经到达业务消费者；对于不能路由的消息，还需要检查退回通知。</w:t>
      </w:r>
      <w:r>
        <w:rPr>
          <w:vertAlign w:val="superscript"/>
        </w:rPr>
        <w:t>[15]</w:t>
      </w:r>
      <w:r>
        <w:t>因此，系统只有在发布确认满足要求且不存在路由退回时，才把待发送记录标记为已发送。消费端最终完成业务更新后再形成消费结果，页面上的任务状态仍可能晚于学习库中的进度变化。</w:t>
      </w:r>
    </w:p>
    <w:p w14:paraId="1FEC4D14">
      <w:pPr>
        <w:pStyle w:val="4"/>
        <w:pageBreakBefore w:val="0"/>
      </w:pPr>
      <w:bookmarkStart w:id="11" w:name="_Toc17173"/>
      <w:r>
        <w:t>2.4 身份抽验与信息保护</w:t>
      </w:r>
      <w:bookmarkEnd w:id="11"/>
    </w:p>
    <w:p w14:paraId="31BD104B">
      <w:pPr>
        <w:jc w:val="both"/>
      </w:pPr>
      <w:r>
        <w:t>项目使用人脸检测与特征比较实现一对一身份抽验。检测阶段判断输入是否包含可用人脸，特征阶段比较登记图像与本次提交图像，最后将相似度与配置阈值比较。YuNet与SFace承担模型能力，业务服务负责抽验任务的创建、截止时间、重试次数和失败处置。模型分数与业务决定分层处理，便于在更换模型或阈值后仍保留稳定的任务流程。</w:t>
      </w:r>
    </w:p>
    <w:p w14:paraId="365BD400">
      <w:pPr>
        <w:jc w:val="both"/>
      </w:pPr>
      <w:r>
        <w:t>Wu等提出的YuNet使用轻量化特征提取与简化的特征融合结构，研究重点是人脸检测的计算成本与精度之间的取舍。</w:t>
      </w:r>
      <w:r>
        <w:rPr>
          <w:vertAlign w:val="superscript"/>
        </w:rPr>
        <w:t>[16]</w:t>
      </w:r>
      <w:r>
        <w:t>Zhong等提出的SFace通过损失函数约束人脸特征学习，以处理不同质量训练图像带来的问题。</w:t>
      </w:r>
      <w:r>
        <w:rPr>
          <w:vertAlign w:val="superscript"/>
        </w:rPr>
        <w:t>[17]</w:t>
      </w:r>
      <w:r>
        <w:t>项目使用已经提供的模型进行推理，没有重新训练模型，也不把原论文的基准指标直接作为本系统指标。检测到人脸与核实登记身份是两个步骤，身份相似度比较又不同于活体检测，三者需要分别验证。</w:t>
      </w:r>
    </w:p>
    <w:p w14:paraId="17D46369">
      <w:pPr>
        <w:jc w:val="both"/>
      </w:pPr>
      <w:r>
        <w:t>人脸信息具有敏感性。《中华人民共和国个人信息保护法》对敏感个人信息提出特定目的、充分必要性和严格保护等要求。</w:t>
      </w:r>
      <w:r>
        <w:rPr>
          <w:vertAlign w:val="superscript"/>
        </w:rPr>
        <w:t>[18]</w:t>
      </w:r>
      <w:r>
        <w:t>2025年施行的《人脸识别技术应用安全管理办法》进一步规定告知、保存期限和替代验证方式等规则。</w:t>
      </w:r>
      <w:r>
        <w:rPr>
          <w:vertAlign w:val="superscript"/>
        </w:rPr>
        <w:t>[19]</w:t>
      </w:r>
      <w:r>
        <w:t>因此，私有存储和访问控制只是系统设计的一部分，正式应用还需要明确告知、授权依据、保存与删除策略，并落实合理便捷的替代核验流程。当前原型不能因为已经接入模型就被描述为完成了全部应用合规要求。</w:t>
      </w:r>
    </w:p>
    <w:p w14:paraId="77582DA0">
      <w:pPr>
        <w:pStyle w:val="4"/>
        <w:pageBreakBefore w:val="0"/>
      </w:pPr>
      <w:bookmarkStart w:id="12" w:name="_Toc24668"/>
      <w:r>
        <w:t>2.5 前后端与持久化技术选择</w:t>
      </w:r>
      <w:bookmarkEnd w:id="12"/>
    </w:p>
    <w:p w14:paraId="650BAAB7">
      <w:pPr>
        <w:jc w:val="both"/>
      </w:pPr>
      <w:r>
        <w:t>项目后端采用JDK 17、Spring Boot 3.5.3、Dubbo 3.3.6和MyBatis-Flex 1.11.4，数据库结构由Flyway迁移管理。JDK版本依据当前父工程配置确定。MySQL存储业务事实和约束，Redis承担认证会话及授权缓存，RabbitMQ传递学习结果，Nacos承担配置和注册发现，各组件用途不同，不以缓存内容替代学习档案。</w:t>
      </w:r>
    </w:p>
    <w:p w14:paraId="479645BC">
      <w:pPr>
        <w:jc w:val="both"/>
      </w:pPr>
      <w:r>
        <w:t>前端采用Vue 3、TypeScript、Element Plus、Pinia和Vite。类型声明使页面与接口字段之间的关系可检查，组件化组织便于复用表单、列表和状态提示。媒体文件采用浏览器直传私有对象存储的方式，后端保留授权与元数据校验职责，避免把大文件流量都汇集到Web API。HTTP范围请求允许按字节区间获取资源，是视频定位与分段读取的协议基础。</w:t>
      </w:r>
      <w:r>
        <w:rPr>
          <w:vertAlign w:val="superscript"/>
        </w:rPr>
        <w:t>[20]</w:t>
      </w:r>
      <w:r>
        <w:t>项目仍需通过真实OSS和浏览器解码实验验证存储配置与播放链路的组合行为。</w:t>
      </w:r>
    </w:p>
    <w:p w14:paraId="346AF172">
      <w:pPr>
        <w:pStyle w:val="3"/>
        <w:pageBreakBefore/>
      </w:pPr>
      <w:bookmarkStart w:id="13" w:name="_Toc32181"/>
      <w:r>
        <w:t>3 需求与可行性分析</w:t>
      </w:r>
      <w:bookmarkEnd w:id="13"/>
    </w:p>
    <w:p w14:paraId="1764322F">
      <w:pPr>
        <w:pStyle w:val="4"/>
        <w:pageBreakBefore w:val="0"/>
      </w:pPr>
      <w:bookmarkStart w:id="14" w:name="_Toc32273"/>
      <w:r>
        <w:t>3.1 用户角色与业务范围</w:t>
      </w:r>
      <w:bookmarkEnd w:id="14"/>
    </w:p>
    <w:p w14:paraId="0D2BCD93">
      <w:pPr>
        <w:jc w:val="both"/>
      </w:pPr>
      <w:r>
        <w:t>平台管理员负责建立企业及管理账号，维护平台层面的基础组织能力。企业管理员负责本企业部门、学员、车辆、课程、试题、试卷、培训计划和统计查询。学员查看本人任务、完成学习和考试，并查询个人培训档案。角色用于组织功能权限，企业标识和用户标识用于限定数据范围，两者共同构成一次业务访问的条件。</w:t>
      </w:r>
    </w:p>
    <w:p w14:paraId="213D86D1">
      <w:pPr>
        <w:jc w:val="both"/>
      </w:pPr>
      <w:r>
        <w:t>论文中的学时监管指企业管理员对本企业学习过程的查询和核对。虽然项目已经整理行政区域数据范围规则，但行业管理机构跨企业监管还需要独立授权模型，不能把行政区域字段存在等同于跨企业监管已经实现。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71E6AE0E">
      <w:pPr>
        <w:pStyle w:val="4"/>
        <w:pageBreakBefore w:val="0"/>
      </w:pPr>
      <w:bookmarkStart w:id="15" w:name="_Toc3061"/>
      <w:r>
        <w:t>3.2 培训业务流程与功能需求</w:t>
      </w:r>
      <w:bookmarkEnd w:id="15"/>
    </w:p>
    <w:p w14:paraId="0F9ABE31">
      <w:pPr>
        <w:pStyle w:val="5"/>
        <w:pageBreakBefore w:val="0"/>
      </w:pPr>
      <w:bookmarkStart w:id="16" w:name="_Toc11476"/>
      <w:r>
        <w:t>3.2.1 课程与计划发布</w:t>
      </w:r>
      <w:bookmarkEnd w:id="16"/>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17" w:name="_Toc17479"/>
      <w:r>
        <w:t>3.2.2 学习与异常恢复</w:t>
      </w:r>
      <w:bookmarkEnd w:id="17"/>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18" w:name="_Toc17069"/>
      <w:r>
        <w:t>3.2.3 抽验与考试</w:t>
      </w:r>
      <w:bookmarkEnd w:id="18"/>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19" w:name="_Toc8298"/>
      <w:r>
        <w:t>3.2.4 档案与统计</w:t>
      </w:r>
      <w:bookmarkEnd w:id="19"/>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0" w:name="_Toc18132"/>
      <w:r>
        <w:t>3.3 非功能需求</w:t>
      </w:r>
      <w:bookmarkEnd w:id="20"/>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当前不提出已经满足多地域部署、自动故障转移或大规模并发的结论。</w:t>
      </w:r>
    </w:p>
    <w:p w14:paraId="47891903">
      <w:pPr>
        <w:pStyle w:val="4"/>
        <w:pageBreakBefore w:val="0"/>
      </w:pPr>
      <w:bookmarkStart w:id="21" w:name="_Toc30052"/>
      <w:r>
        <w:t>3.4 方案可行性与选择</w:t>
      </w:r>
      <w:bookmarkEnd w:id="21"/>
    </w:p>
    <w:p w14:paraId="17FD5DBE">
      <w:pPr>
        <w:jc w:val="both"/>
      </w:pPr>
      <w:r>
        <w:t>从技术条件看，项目已有独立模块、迁移脚本和自动化测试，基础管理、学习规则及档案查询具备代码支撑。浏览器媒体与模型接口所依赖的工具也已有接入位置，因此研究能够围绕实际实现展开。与此同时，私有OSS授权、真实照片和完整培训数据仍影响端到端验收，技术可行性不能直接替代实验完成状态。</w:t>
      </w:r>
    </w:p>
    <w:p w14:paraId="62425BE8">
      <w:pPr>
        <w:jc w:val="both"/>
      </w:pPr>
      <w:r>
        <w:t>从实施成本看，模块化单体具有部署简单、事务边界直观的优势，适合规模较小、团队人数较少的培训平台。微服务增加注册中心、消息代理和跨服务排查成本，只有业务边界及独立演进需求足够明确时才有理由采用。本项目选择Dubbo架构，重点在于研究管理、培训和高频学习的职责分离，并通过Outbox解决拆分后暴露的一致性问题，不能据此断言单体方案不适用。</w:t>
      </w:r>
    </w:p>
    <w:p w14:paraId="424620D4">
      <w:pPr>
        <w:pStyle w:val="15"/>
      </w:pPr>
      <w: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87AF319">
      <w:pPr>
        <w:spacing w:after="80" w:line="240" w:lineRule="auto"/>
      </w:pPr>
    </w:p>
    <w:p w14:paraId="27D04FC8">
      <w:pPr>
        <w:jc w:val="both"/>
      </w:pPr>
      <w:r>
        <w:t>业务可行性还取决于学员能否理解页面反馈。保守计时的差额需要以剩余学时和补学入口说明，抽验应显示截止状态，历史查询应清楚区分未学习和已结束。系统设计的重点因此同时包括计算规则与反馈机制，避免后台规则正确而用户无法判断下一步操作。</w:t>
      </w:r>
    </w:p>
    <w:p w14:paraId="2A65EC51">
      <w:pPr>
        <w:pStyle w:val="3"/>
        <w:pageBreakBefore/>
      </w:pPr>
      <w:bookmarkStart w:id="22" w:name="_Toc8760"/>
      <w:r>
        <w:t>4 系统设计</w:t>
      </w:r>
      <w:bookmarkEnd w:id="22"/>
    </w:p>
    <w:p w14:paraId="20D221AD">
      <w:pPr>
        <w:pStyle w:val="4"/>
        <w:pageBreakBefore w:val="0"/>
      </w:pPr>
      <w:bookmarkStart w:id="23" w:name="_Toc22624"/>
      <w:r>
        <w:t>4.1 总体架构</w:t>
      </w:r>
      <w:bookmarkEnd w:id="23"/>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687695" cy="3829685"/>
            <wp:effectExtent l="0" t="0" r="8255" b="18415"/>
            <wp:docPr id="1" name="Picture 1" descr="系统架构，三个业务服务分别管理数据，人脸适配器嵌入学习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系统架构，三个业务服务分别管理数据，人脸适配器嵌入学习服务"/>
                    <pic:cNvPicPr>
                      <a:picLocks noChangeAspect="1"/>
                    </pic:cNvPicPr>
                  </pic:nvPicPr>
                  <pic:blipFill>
                    <a:blip r:embed="rId13"/>
                    <a:stretch>
                      <a:fillRect/>
                    </a:stretch>
                  </pic:blipFill>
                  <pic:spPr>
                    <a:xfrm>
                      <a:off x="0" y="0"/>
                      <a:ext cx="5688000" cy="382992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52F71E83">
      <w:pPr>
        <w:pStyle w:val="4"/>
        <w:pageBreakBefore w:val="0"/>
      </w:pPr>
      <w:bookmarkStart w:id="24" w:name="_Toc3435"/>
      <w:r>
        <w:t>4.2 数据模型与发布快照</w:t>
      </w:r>
      <w:bookmarkEnd w:id="24"/>
    </w:p>
    <w:p w14:paraId="52D732B3">
      <w:pPr>
        <w:pStyle w:val="5"/>
        <w:pageBreakBefore w:val="0"/>
      </w:pPr>
      <w:bookmarkStart w:id="25" w:name="_Toc32628"/>
      <w:r>
        <w:t>4.2.1 主要业务实体</w:t>
      </w:r>
      <w:bookmarkEnd w:id="25"/>
    </w:p>
    <w:p w14:paraId="363CFA01">
      <w:pPr>
        <w:jc w:val="both"/>
      </w:pPr>
      <w:r>
        <w:t>数据模型围绕企业、计划参训任务和学习会话组织。一个企业包含多名用户和多辆车辆，用户以可空vehicle_id关联至多一辆本企业车辆，车辆可关联多名用户；该字段通过非唯一索引支持查询，未声明物理外键。一个计划分配给多名学员，形成任务并关联课程快照；任务产生学习会话和进度，会话包含事件与抽验任务，抽验任务可有零次或多次提交。考试记录关联试卷快照及答案。图4-2补充人员车辆关系，照片对象引用由表4-1说明。</w:t>
      </w:r>
    </w:p>
    <w:p w14:paraId="56DD8760">
      <w:pPr>
        <w:keepNext/>
        <w:ind w:firstLine="0"/>
        <w:jc w:val="center"/>
      </w:pPr>
      <w:r>
        <w:drawing>
          <wp:inline distT="0" distB="0" distL="114300" distR="114300">
            <wp:extent cx="5687695" cy="3071495"/>
            <wp:effectExtent l="0" t="0" r="8255" b="14605"/>
            <wp:docPr id="2" name="Picture 2" descr="核心实体的逻辑关联，不表示跨库外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核心实体的逻辑关联，不表示跨库外键"/>
                    <pic:cNvPicPr>
                      <a:picLocks noChangeAspect="1"/>
                    </pic:cNvPicPr>
                  </pic:nvPicPr>
                  <pic:blipFill>
                    <a:blip r:embed="rId14"/>
                    <a:stretch>
                      <a:fillRect/>
                    </a:stretch>
                  </pic:blipFill>
                  <pic:spPr>
                    <a:xfrm>
                      <a:off x="0" y="0"/>
                      <a:ext cx="5688000" cy="3071520"/>
                    </a:xfrm>
                    <a:prstGeom prst="rect">
                      <a:avLst/>
                    </a:prstGeom>
                  </pic:spPr>
                </pic:pic>
              </a:graphicData>
            </a:graphic>
          </wp:inline>
        </w:drawing>
      </w:r>
    </w:p>
    <w:p w14:paraId="0014148C">
      <w:pPr>
        <w:pStyle w:val="15"/>
        <w:keepNext w:val="0"/>
      </w:pPr>
      <w:r>
        <w:t>图4-2 核心业务实体逻辑关系</w:t>
      </w:r>
    </w:p>
    <w:p w14:paraId="705111FB">
      <w:pPr>
        <w:jc w:val="both"/>
      </w:pPr>
      <w:r>
        <w:t>跨服务关联采用逻辑标识，不建立跨库外键。这样可以保持数据库迁移在各自服务内执行，但对象归属和引用有效性必须由服务接口校验。图4-2表达逻辑关系，不能把连线理解为数据库已经声明物理外键。数据库的实际约束仍以各服务迁移脚本中的主键、索引和唯一键为准。</w:t>
      </w:r>
    </w:p>
    <w:p w14:paraId="609E9E4E">
      <w:pPr>
        <w:pStyle w:val="15"/>
      </w:pPr>
      <w: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11B48C75">
      <w:pPr>
        <w:spacing w:after="80" w:line="240" w:lineRule="auto"/>
      </w:pPr>
    </w:p>
    <w:p w14:paraId="6752DFDD">
      <w:pPr>
        <w:pStyle w:val="5"/>
        <w:pageBreakBefore w:val="0"/>
      </w:pPr>
      <w:bookmarkStart w:id="26" w:name="_Toc28365"/>
      <w:r>
        <w:t>4.2.2 快照与历史解释</w:t>
      </w:r>
      <w:bookmarkEnd w:id="2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快照不能自动解决全部资源保留问题。数据库中保留对象引用，并不保证对应视频对象永远可用；若未来需要长期归档，还应建立对象保留周期、版本标识和删除约束。当前论文可以确认发布快照的实现与数据结构，但长期对象存储留存策略仍需结合实际运营要求完善。</w:t>
      </w:r>
    </w:p>
    <w:p w14:paraId="5BBAB851">
      <w:pPr>
        <w:pStyle w:val="5"/>
        <w:pageBreakBefore w:val="0"/>
      </w:pPr>
      <w:bookmarkStart w:id="27" w:name="_Toc9623"/>
      <w:r>
        <w:t>4.2.3 唯一性与删除约束</w:t>
      </w:r>
      <w:bookmarkEnd w:id="2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13FAE614">
      <w:pPr>
        <w:pStyle w:val="4"/>
        <w:pageBreakBefore w:val="0"/>
      </w:pPr>
      <w:bookmarkStart w:id="28" w:name="_Toc13097"/>
      <w:r>
        <w:t>4.3 学习消息处理流程</w:t>
      </w:r>
      <w:bookmarkEnd w:id="28"/>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687695" cy="3507105"/>
            <wp:effectExtent l="0" t="0" r="8255" b="17145"/>
            <wp:docPr id="3" name="Picture 3" descr="进度消息校验、事务保存与最终一致性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进度消息校验、事务保存与最终一致性流程"/>
                    <pic:cNvPicPr>
                      <a:picLocks noChangeAspect="1"/>
                    </pic:cNvPicPr>
                  </pic:nvPicPr>
                  <pic:blipFill>
                    <a:blip r:embed="rId15"/>
                    <a:stretch>
                      <a:fillRect/>
                    </a:stretch>
                  </pic:blipFill>
                  <pic:spPr>
                    <a:xfrm>
                      <a:off x="0" y="0"/>
                      <a:ext cx="5688000" cy="3507600"/>
                    </a:xfrm>
                    <a:prstGeom prst="rect">
                      <a:avLst/>
                    </a:prstGeom>
                  </pic:spPr>
                </pic:pic>
              </a:graphicData>
            </a:graphic>
          </wp:inline>
        </w:drawing>
      </w:r>
    </w:p>
    <w:p w14:paraId="6FA7F38E">
      <w:pPr>
        <w:pStyle w:val="15"/>
        <w:keepNext w:val="0"/>
      </w:pPr>
      <w:r>
        <w:t>图4-3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当前Realtime连接注册表使用进程内ConcurrentHashMap，Redis缓存授权信息而不承担跨实例连接注册。跨实例连接归属与互斥协调仍需进一步设计，不能根据单进程中的连接映射推断集群内已经全局互斥。</w:t>
      </w:r>
    </w:p>
    <w:p w14:paraId="718AD835">
      <w:pPr>
        <w:pStyle w:val="4"/>
        <w:pageBreakBefore w:val="0"/>
      </w:pPr>
      <w:bookmarkStart w:id="29" w:name="_Toc29523"/>
      <w:r>
        <w:t>4.4 抽验与考试状态设计</w:t>
      </w:r>
      <w:bookmarkEnd w:id="29"/>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30" w:name="_Toc15395"/>
      <w:r>
        <w:t>4.5 安全与只读查询设计</w:t>
      </w:r>
      <w:bookmarkEnd w:id="30"/>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不同于保存期限，统一到期清理策略仍需完善。签名地址不得进入公开截图或日志。</w:t>
      </w:r>
    </w:p>
    <w:p w14:paraId="35DB5B27">
      <w:pPr>
        <w:pStyle w:val="3"/>
        <w:pageBreakBefore/>
      </w:pPr>
      <w:bookmarkStart w:id="31" w:name="_Toc14838"/>
      <w:r>
        <w:t>5 系统实现</w:t>
      </w:r>
      <w:bookmarkEnd w:id="31"/>
    </w:p>
    <w:p w14:paraId="72ED2B8D">
      <w:pPr>
        <w:pStyle w:val="4"/>
        <w:pageBreakBefore w:val="0"/>
      </w:pPr>
      <w:bookmarkStart w:id="32" w:name="_Toc6950"/>
      <w:r>
        <w:t>5.1 工程组织与基础管理实现</w:t>
      </w:r>
      <w:bookmarkEnd w:id="32"/>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历史真实接口验收已验证跨企业车辆修改被拒绝，新增绑定和个人资料能力的验证状态另行记录。</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调整顺序，防止安全链空上下文覆盖握手身份，连接随后完成学习会话绑定。本机演示采用HTTP和WS，TLS终止、HTTPS摄像头安全上下文与WSS部署仍需环境验证。</w:t>
      </w:r>
    </w:p>
    <w:p w14:paraId="42D1A49C">
      <w:pPr>
        <w:pStyle w:val="4"/>
        <w:pageBreakBefore w:val="0"/>
      </w:pPr>
      <w:bookmarkStart w:id="33" w:name="_Toc32074"/>
      <w:r>
        <w:t>5.2 课程资源与计划实现</w:t>
      </w:r>
      <w:bookmarkEnd w:id="33"/>
    </w:p>
    <w:p w14:paraId="379000BC">
      <w:pPr>
        <w:jc w:val="both"/>
      </w:pPr>
      <w:r>
        <w:t>课程管理把媒体元数据与大文件传输分离。浏览器请求上传授权后直传私有OSS，培训服务负责授权生成和完成校验，再保存课件元数据。播放时按任务和资源访问条件取得短期地址，浏览器通过范围请求读取视频。这样的链路需要同时验证后端授权、存储CORS、资源响应和浏览器解码，单独生成一个可以播放的本地视频只能验证其中最后一部分。</w:t>
      </w:r>
    </w:p>
    <w:p w14:paraId="6514DA84">
      <w:pPr>
        <w:jc w:val="both"/>
      </w:pPr>
      <w:r>
        <w:t>计划发布将课程和课件规则复制为快照，并创建独立保存学习、考试和完成状态的参训任务，基础课程后续修改不回写快照。自然日周期仍使用日期时间字段，未设置批量回写历史计划的迁移；播放授权采用now &lt; endAt，因此不将结束日23:59:59之后的小数秒描述为仍可播放。学员课程目录和要求学时来源于本人任务的发布快照，档案中的未学习课程补零显示，无需提前插入学习累计行。</w:t>
      </w:r>
    </w:p>
    <w:p w14:paraId="73F45566">
      <w:pPr>
        <w:jc w:val="both"/>
      </w:pPr>
      <w:r>
        <w:t>考试相关的题库、试卷和题目快照属于培训服务。试卷维护与发布任务的考核依据分开，减少题目调整对既有考试的影响。当前系统支持两种计划完成模式，本文不扩展为报名缴费、电子证书签发或培训资质审批平台。这一范围限定使实现与论文目标保持一致，也为后续测试提供可控边界。</w:t>
      </w:r>
    </w:p>
    <w:p w14:paraId="45B4F56A">
      <w:pPr>
        <w:pStyle w:val="4"/>
        <w:pageBreakBefore w:val="0"/>
      </w:pPr>
      <w:bookmarkStart w:id="34" w:name="_Toc17588"/>
      <w:r>
        <w:t>5.3 有效学时与补学实现</w:t>
      </w:r>
      <w:bookmarkEnd w:id="34"/>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项目为此加入从头补学入口。补学重置已完成课件的当前位置，保留累计学时、完成标记和最高确认位置，随后仍按正常进度规则计时。PLAY事件本身不增加学时，也不因点击补学按钮直接填平差额。该修复回应保守累计带来的实际状态组合，而不通过放宽计时规则掩盖差额。浏览器真实视频在何种网络条件下产生多大差额，仍需后续实验测量。</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35" w:name="_Toc26659"/>
      <w:r>
        <w:t>5.4 幂等与异步结果实现</w:t>
      </w:r>
      <w:bookmarkEnd w:id="35"/>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学习状态更新与Outbox记录写入同一事务。发送器读取待发送事件，向RabbitMQ发布，并结合确认和退回结果更新发送状态。已有验收发现，仅根据Broker ACK标记SENT会遗漏“消息被代理接收但没有队列可路由”的情况；修复后同时检查NO_ROUTE退回，使此类事件保持可恢复状态。真实Broker实验先构造无队列路由，再补齐临时队列和重建发送器，验证恢复后能够收到事件。</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36" w:name="_Toc1861"/>
      <w:r>
        <w:t>5.5 抽验与考试实现</w:t>
      </w:r>
      <w:bookmarkEnd w:id="36"/>
    </w:p>
    <w:p w14:paraId="16F4B1F6">
      <w:pPr>
        <w:jc w:val="both"/>
      </w:pPr>
      <w:r>
        <w:t>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测试替身可验证流程，不能据此计算真人识别准确率或证明活体检测能力。</w:t>
      </w:r>
    </w:p>
    <w:p w14:paraId="26224112">
      <w:pPr>
        <w:jc w:val="both"/>
      </w:pPr>
      <w:r>
        <w:t>目前人脸模型已具备本机接入条件，实际的同人不同照、不同人和多人图像验收仍需授权照片。重复使用同一张图片比较只能检查模型调用是否正常，不能评价真实身份核验效果。活体检测、照片翻拍攻击、复杂光照和遮挡下的表现尚未获得本文可引用的实测结果，均纳入后续验证范围。</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筛选目前仍按考试状态和计划有效期统计，未加入学习完成条件，因此该数值不能解释为当前可参加考试的任务数。</w:t>
      </w:r>
    </w:p>
    <w:p w14:paraId="6BB29306">
      <w:pPr>
        <w:pStyle w:val="4"/>
        <w:pageBreakBefore w:val="0"/>
      </w:pPr>
      <w:bookmarkStart w:id="37" w:name="_Toc27199"/>
      <w:r>
        <w:t>5.6 档案聚合与界面交互实现</w:t>
      </w:r>
      <w:bookmarkEnd w:id="37"/>
    </w:p>
    <w:p w14:paraId="764E5B74">
      <w:pPr>
        <w:jc w:val="both"/>
      </w:pPr>
      <w:r>
        <w:t>TrainingRecordController面向学员和管理员组织历史档案。列表先读取任务，再批量查询本页对应学时，详情以发布快照列出课程，缺少进度时补零。查询已结束计划不调用学习入口的初始化逻辑。这个实现解决了原学习操作入口与历史查询目的不同的问题，使“还能否继续学习”和“能否查看记录”分别判断。</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改用独立详情页。上述页面调整不改变权限和学时计算规则。</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UI夹具可验证交互边界，但不能证明真实媒体闭环；本文沿用功能说明和验证表，不将模拟成绩作为企业真实培训成果。</w:t>
      </w:r>
    </w:p>
    <w:p w14:paraId="792D4ECE">
      <w:pPr>
        <w:pStyle w:val="3"/>
        <w:pageBreakBefore/>
      </w:pPr>
      <w:bookmarkStart w:id="38" w:name="_Toc10782"/>
      <w:r>
        <w:t>6 测试与结果分析</w:t>
      </w:r>
      <w:bookmarkEnd w:id="38"/>
    </w:p>
    <w:p w14:paraId="346ABCEF">
      <w:pPr>
        <w:pStyle w:val="4"/>
        <w:pageBreakBefore w:val="0"/>
      </w:pPr>
      <w:bookmarkStart w:id="39" w:name="_Toc29264"/>
      <w:r>
        <w:t>6.1 验证设计与数据来源</w:t>
      </w:r>
      <w:bookmarkEnd w:id="39"/>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真实视频学习还需要独立的媒体实验，不能被前述层次替代。</w:t>
      </w:r>
    </w:p>
    <w:p w14:paraId="75EE1A64">
      <w:pPr>
        <w:jc w:val="both"/>
      </w:pPr>
      <w:r>
        <w:t>本文测试结果取自2026年9月7日至9日存档材料。后端CI对应fcbb506，前端对应7ca2f94；记录说明两次提交之间前端源码与工作流没有变化。实现说明已增量核对至9月13日96a8d84，该版本的新增或修改测试未在本次执行，不并入历史通过数量。本文保留执行版本与环境差异，不把静态核查描述为新版本验收。</w:t>
      </w:r>
    </w:p>
    <w:p w14:paraId="2EB0D0D3">
      <w:pPr>
        <w:jc w:val="both"/>
      </w:pPr>
      <w:r>
        <w:t>CI后端使用JDK 17，并在具有Docker条件的环境中执行Testcontainers集成测试。本机演示环境使用Windows、浏览器与单实例服务，数据库、消息代理和对象存储条件按各实验记录确定。测试账号和培训数据为演示数据，不代表随机抽样的运输企业或真实学员总体。当前结果可以分析程序规则与组件行为，不能推断实际岗位培训效果。</w:t>
      </w:r>
    </w:p>
    <w:p w14:paraId="3091DC53">
      <w:pPr>
        <w:pStyle w:val="4"/>
        <w:pageBreakBefore w:val="0"/>
      </w:pPr>
      <w:bookmarkStart w:id="40" w:name="_Toc31674"/>
      <w:r>
        <w:t>6.2 自动化测试结果</w:t>
      </w:r>
      <w:bookmarkEnd w:id="40"/>
    </w:p>
    <w:p w14:paraId="6D033F46">
      <w:pPr>
        <w:jc w:val="both"/>
      </w:pPr>
      <w:r>
        <w:t>表6-1列出9月9日存档结果，适用版本见6.1节。数据库与RabbitMQ项目是后端210项中的子集；前端单元、条件守卫和UI契约分别计数，不与后端相加构造“系统通过率”。条件跳过表示实验依赖未满足，既不是通过，也不直接等同于程序失败。</w:t>
      </w:r>
    </w:p>
    <w:p w14:paraId="326341F0">
      <w:pPr>
        <w:pStyle w:val="15"/>
      </w:pPr>
      <w:r>
        <w:t>表6-1 2026年9月9日自动化验证记录</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后端全量CI</w:t>
            </w:r>
          </w:p>
        </w:tc>
        <w:tc>
          <w:tcPr>
            <w:tcW w:w="1020" w:type="dxa"/>
            <w:vAlign w:val="center"/>
          </w:tcPr>
          <w:p w14:paraId="50A25080">
            <w:pPr>
              <w:keepNext w:val="0"/>
              <w:spacing w:before="40" w:after="40" w:line="300" w:lineRule="auto"/>
              <w:ind w:firstLine="0"/>
              <w:jc w:val="center"/>
            </w:pPr>
            <w:r>
              <w:rPr>
                <w:sz w:val="21"/>
              </w:rPr>
              <w:t>210</w:t>
            </w:r>
          </w:p>
        </w:tc>
        <w:tc>
          <w:tcPr>
            <w:tcW w:w="1020" w:type="dxa"/>
            <w:vAlign w:val="center"/>
          </w:tcPr>
          <w:p w14:paraId="34E4D413">
            <w:pPr>
              <w:keepNext w:val="0"/>
              <w:spacing w:before="40" w:after="40" w:line="300" w:lineRule="auto"/>
              <w:ind w:firstLine="0"/>
              <w:jc w:val="center"/>
            </w:pPr>
            <w:r>
              <w:rPr>
                <w:sz w:val="21"/>
              </w:rPr>
              <w:t>208</w:t>
            </w:r>
          </w:p>
        </w:tc>
        <w:tc>
          <w:tcPr>
            <w:tcW w:w="1020" w:type="dxa"/>
            <w:vAlign w:val="center"/>
          </w:tcPr>
          <w:p w14:paraId="6FB8BA19">
            <w:pPr>
              <w:keepNext w:val="0"/>
              <w:spacing w:before="40" w:after="40" w:line="300" w:lineRule="auto"/>
              <w:ind w:firstLine="0"/>
              <w:jc w:val="center"/>
            </w:pPr>
            <w:r>
              <w:rPr>
                <w:sz w:val="21"/>
              </w:rPr>
              <w:t>2</w:t>
            </w:r>
          </w:p>
        </w:tc>
        <w:tc>
          <w:tcPr>
            <w:tcW w:w="3288" w:type="dxa"/>
            <w:vAlign w:val="center"/>
          </w:tcPr>
          <w:p w14:paraId="7042ECA6">
            <w:pPr>
              <w:keepNext w:val="0"/>
              <w:spacing w:before="40" w:after="40" w:line="300" w:lineRule="auto"/>
              <w:ind w:firstLine="0"/>
              <w:jc w:val="left"/>
            </w:pPr>
            <w:r>
              <w:rPr>
                <w:sz w:val="21"/>
              </w:rPr>
              <w:t>58个测试类，失败和错误均为0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2</w:t>
            </w:r>
          </w:p>
        </w:tc>
        <w:tc>
          <w:tcPr>
            <w:tcW w:w="1020" w:type="dxa"/>
            <w:vAlign w:val="center"/>
          </w:tcPr>
          <w:p w14:paraId="6AC7D7BA">
            <w:pPr>
              <w:keepNext w:val="0"/>
              <w:spacing w:before="40" w:after="40" w:line="300" w:lineRule="auto"/>
              <w:ind w:firstLine="0"/>
              <w:jc w:val="center"/>
            </w:pPr>
            <w:r>
              <w:rPr>
                <w:sz w:val="21"/>
              </w:rPr>
              <w:t>2</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14个文件中的界面与逻辑测试</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验证配置缺失时明确失败</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使用确定的接口夹具数据</w:t>
            </w:r>
          </w:p>
        </w:tc>
      </w:tr>
    </w:tbl>
    <w:p w14:paraId="4A3943C8">
      <w:pPr>
        <w:spacing w:after="80" w:line="240" w:lineRule="auto"/>
      </w:pPr>
    </w:p>
    <w:p w14:paraId="2056843E">
      <w:pPr>
        <w:jc w:val="both"/>
      </w:pPr>
      <w:r>
        <w:t>后端208项已执行测试均通过，按全部210项计算，执行覆盖比例为208/210，约99.05%。这个比例只是本次测试清单中已执行项的比例，不是代码覆盖率，也不是系统正确率。剩余两项分别涉及真实Aliyun OSS和同人不同照片模型，CI没有注入所需授权条件，因此保留为跳过。</w:t>
      </w:r>
    </w:p>
    <w:p w14:paraId="414B04D4">
      <w:pPr>
        <w:jc w:val="both"/>
      </w:pPr>
      <w:r>
        <w:t>数据库执行设置独立门禁，读取管理8项、培训2项、学习1项测试报告，缺少报告或存在跳过都会使门禁失败。11项全部通过说明这些条件测试确实执行，而非因环境不足被整体跳过。它们验证对应迁移、查询和事务场景，并不证明完整培训流程已跨全部服务运行成功。</w:t>
      </w:r>
    </w:p>
    <w:p w14:paraId="68B1068E">
      <w:pPr>
        <w:pStyle w:val="4"/>
        <w:pageBreakBefore w:val="0"/>
      </w:pPr>
      <w:bookmarkStart w:id="41" w:name="_Toc3368"/>
      <w:r>
        <w:t>6.3 核心业务用例分析</w:t>
      </w:r>
      <w:bookmarkEnd w:id="41"/>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仍然缺少的是这些机制在真实视频、真实照片与完整计划条件下共同运行的闭环证据。</w:t>
      </w:r>
    </w:p>
    <w:p w14:paraId="07237A67">
      <w:pPr>
        <w:pStyle w:val="4"/>
        <w:pageBreakBefore w:val="0"/>
      </w:pPr>
      <w:bookmarkStart w:id="42" w:name="_Toc5321"/>
      <w:r>
        <w:t>6.4 合成计时实验与结果解释</w:t>
      </w:r>
      <w:bookmarkEnd w:id="42"/>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补学修复已有规则和界面测试，实际视频差额分布还应在记录解码帧数、真实播放位置和确认学时的实验中观察。</w:t>
      </w:r>
    </w:p>
    <w:p w14:paraId="69B62379">
      <w:pPr>
        <w:pStyle w:val="4"/>
        <w:pageBreakBefore w:val="0"/>
      </w:pPr>
      <w:bookmarkStart w:id="43" w:name="_Toc15192"/>
      <w:r>
        <w:t>6.5 集成问题与修复验证</w:t>
      </w:r>
      <w:bookmarkEnd w:id="43"/>
    </w:p>
    <w:p w14:paraId="03590946">
      <w:pPr>
        <w:jc w:val="both"/>
      </w:pPr>
      <w:r>
        <w:t>数据库条件测试曾暴露最小测试上下文与正常应用装配不一致的问题。管理库测试缺少JdbcTemplate而无法启动，补充自动配置后进入真实数据库执行；多表回滚未生效则通过补充Flex事务自动配置修复。培训库独立测试受到Nacos配置检查干扰，测试配置中关闭无关注册发现和Dubbo后，才使数据库验证聚焦于目标行为。这些失败记录保留在验收材料中，体现测试环境本身也需要核查。</w:t>
      </w:r>
    </w:p>
    <w:p w14:paraId="78369CC0">
      <w:pPr>
        <w:jc w:val="both"/>
      </w:pPr>
      <w:r>
        <w:t>权限目录查询断言曾因前缀表达方式导致结果为空，修正查询写法后仍保留原权限内容和数量断言。前端CI还发现锁文件下载地址依赖本机公司镜像，项目将385个地址调整为公开npm来源，同时保持包版本、依赖关系和完整性信息不变。此处的385是依赖来源检查条目数，不是业务测试数量，也不能与55项单元测试合并计数。</w:t>
      </w:r>
    </w:p>
    <w:p w14:paraId="45871177">
      <w:pPr>
        <w:jc w:val="both"/>
      </w:pPr>
      <w:r>
        <w:t>Outbox实验进一步说明真实组件测试能够揭示替身难以完整表现的协议语义。代理确认成功同时出现NO_ROUTE时，旧处理会过早标记SENT；修复后结合退回结果判定，临时路由恢复后能够重新投递。实验使用真实RabbitMQ与生产发送器，数据库Mapper仍为测试替身，因此只支持消息代理与发送逻辑的结论。MySQL持久化记录在业务服务重启后是否完整恢复，仍需单独实验。</w:t>
      </w:r>
    </w:p>
    <w:p w14:paraId="530BB67D">
      <w:pPr>
        <w:pStyle w:val="4"/>
        <w:pageBreakBefore w:val="0"/>
      </w:pPr>
      <w:bookmarkStart w:id="44" w:name="_Toc31690"/>
      <w:r>
        <w:t>6.6 性能指标与尚未完成的实验</w:t>
      </w:r>
      <w:bookmarkEnd w:id="44"/>
    </w:p>
    <w:p w14:paraId="5E5C6F5C">
      <w:pPr>
        <w:jc w:val="both"/>
      </w:pPr>
      <w:r>
        <w:t>已有心跳实验只涉及已认证WebSocket连接的协议往返，不绑定学习会话，也不写入学时。2026年9月8日01时06分的存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真实学习还会产生进度持久化、快照读取、任务投影、媒体访问和抽验请求，需要同时观测这些路径。本文保留心跳实验的原始数值，同时将真实视频学习的容量评价另行安排。</w:t>
      </w:r>
    </w:p>
    <w:p w14:paraId="790AF69B">
      <w:pPr>
        <w:jc w:val="both"/>
      </w:pPr>
      <w:r>
        <w:t>项目已经准备1、5、10名独立学员各正常播放60秒的study-load实验，并配置8项media场景。拟记录的指标包括播放位置增量、解码帧数、确认学时差额、事件响应P50和P95，以及任务开始状态可见时间。可见时间包含轮询与应用处理开销，不能直接称为RabbitMQ内部投递延迟。脚本拒绝复用已有学时的样本，避免初始累计值影响结果。</w:t>
      </w:r>
    </w:p>
    <w:p w14:paraId="59F880ED">
      <w:pPr>
        <w:pStyle w:val="15"/>
      </w:pPr>
      <w:r>
        <w:t>表6-5 真实实验状态与所需证据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24773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00157329">
            <w:pPr>
              <w:keepNext/>
              <w:spacing w:before="40" w:after="40" w:line="300" w:lineRule="auto"/>
              <w:ind w:firstLine="0"/>
              <w:jc w:val="center"/>
            </w:pPr>
            <w:r>
              <w:rPr>
                <w:b/>
                <w:sz w:val="21"/>
              </w:rPr>
              <w:t>实验</w:t>
            </w:r>
          </w:p>
        </w:tc>
        <w:tc>
          <w:tcPr>
            <w:tcW w:w="3175" w:type="dxa"/>
            <w:shd w:val="clear" w:color="auto" w:fill="F0F0F0"/>
            <w:vAlign w:val="center"/>
          </w:tcPr>
          <w:p w14:paraId="569CEBDA">
            <w:pPr>
              <w:keepNext/>
              <w:spacing w:before="40" w:after="40" w:line="300" w:lineRule="auto"/>
              <w:ind w:firstLine="0"/>
              <w:jc w:val="center"/>
            </w:pPr>
            <w:r>
              <w:rPr>
                <w:b/>
                <w:sz w:val="21"/>
              </w:rPr>
              <w:t>当前状态</w:t>
            </w:r>
          </w:p>
        </w:tc>
        <w:tc>
          <w:tcPr>
            <w:tcW w:w="3798" w:type="dxa"/>
            <w:shd w:val="clear" w:color="auto" w:fill="F0F0F0"/>
            <w:vAlign w:val="center"/>
          </w:tcPr>
          <w:p w14:paraId="5EE468D6">
            <w:pPr>
              <w:keepNext/>
              <w:spacing w:before="40" w:after="40" w:line="300" w:lineRule="auto"/>
              <w:ind w:firstLine="0"/>
              <w:jc w:val="center"/>
            </w:pPr>
            <w:r>
              <w:rPr>
                <w:b/>
                <w:sz w:val="21"/>
              </w:rPr>
              <w:t>应补充的证据</w:t>
            </w:r>
          </w:p>
        </w:tc>
      </w:tr>
      <w:tr w14:paraId="68D1A4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A0608D8">
            <w:pPr>
              <w:keepNext w:val="0"/>
              <w:spacing w:before="40" w:after="40" w:line="300" w:lineRule="auto"/>
              <w:ind w:firstLine="0"/>
              <w:jc w:val="left"/>
            </w:pPr>
            <w:r>
              <w:rPr>
                <w:sz w:val="21"/>
              </w:rPr>
              <w:t>私有OSS上传与Range播放</w:t>
            </w:r>
          </w:p>
        </w:tc>
        <w:tc>
          <w:tcPr>
            <w:tcW w:w="3175" w:type="dxa"/>
            <w:vAlign w:val="center"/>
          </w:tcPr>
          <w:p w14:paraId="46F073F0">
            <w:pPr>
              <w:keepNext w:val="0"/>
              <w:spacing w:before="40" w:after="40" w:line="300" w:lineRule="auto"/>
              <w:ind w:firstLine="0"/>
              <w:jc w:val="left"/>
            </w:pPr>
            <w:r>
              <w:rPr>
                <w:sz w:val="21"/>
              </w:rPr>
              <w:t>未完成验收</w:t>
            </w:r>
          </w:p>
        </w:tc>
        <w:tc>
          <w:tcPr>
            <w:tcW w:w="3798" w:type="dxa"/>
            <w:vAlign w:val="center"/>
          </w:tcPr>
          <w:p w14:paraId="0FC3B4AA">
            <w:pPr>
              <w:keepNext w:val="0"/>
              <w:spacing w:before="40" w:after="40" w:line="300" w:lineRule="auto"/>
              <w:ind w:firstLine="0"/>
              <w:jc w:val="left"/>
            </w:pPr>
            <w:r>
              <w:rPr>
                <w:sz w:val="21"/>
              </w:rPr>
              <w:t>对象校验、范围响应及浏览器解码记录</w:t>
            </w:r>
          </w:p>
        </w:tc>
      </w:tr>
      <w:tr w14:paraId="6A5D64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81C0EF">
            <w:pPr>
              <w:keepNext w:val="0"/>
              <w:spacing w:before="40" w:after="40" w:line="300" w:lineRule="auto"/>
              <w:ind w:firstLine="0"/>
              <w:jc w:val="left"/>
            </w:pPr>
            <w:r>
              <w:rPr>
                <w:sz w:val="21"/>
              </w:rPr>
              <w:t>两种模式真实结业</w:t>
            </w:r>
          </w:p>
        </w:tc>
        <w:tc>
          <w:tcPr>
            <w:tcW w:w="3175" w:type="dxa"/>
            <w:vAlign w:val="center"/>
          </w:tcPr>
          <w:p w14:paraId="54EA07C8">
            <w:pPr>
              <w:keepNext w:val="0"/>
              <w:spacing w:before="40" w:after="40" w:line="300" w:lineRule="auto"/>
              <w:ind w:firstLine="0"/>
              <w:jc w:val="left"/>
            </w:pPr>
            <w:r>
              <w:rPr>
                <w:sz w:val="21"/>
              </w:rPr>
              <w:t>未完成验收</w:t>
            </w:r>
          </w:p>
        </w:tc>
        <w:tc>
          <w:tcPr>
            <w:tcW w:w="3798" w:type="dxa"/>
            <w:vAlign w:val="center"/>
          </w:tcPr>
          <w:p w14:paraId="2004B20A">
            <w:pPr>
              <w:keepNext w:val="0"/>
              <w:spacing w:before="40" w:after="40" w:line="300" w:lineRule="auto"/>
              <w:ind w:firstLine="0"/>
              <w:jc w:val="left"/>
            </w:pPr>
            <w:r>
              <w:rPr>
                <w:sz w:val="21"/>
              </w:rPr>
              <w:t>新任务、学习会话、成绩和统计对应记录</w:t>
            </w:r>
          </w:p>
        </w:tc>
      </w:tr>
      <w:tr w14:paraId="48FF65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0A7DDBA">
            <w:pPr>
              <w:keepNext w:val="0"/>
              <w:spacing w:before="40" w:after="40" w:line="300" w:lineRule="auto"/>
              <w:ind w:firstLine="0"/>
              <w:jc w:val="left"/>
            </w:pPr>
            <w:r>
              <w:rPr>
                <w:sz w:val="21"/>
              </w:rPr>
              <w:t>同人不同照及不同人核验</w:t>
            </w:r>
          </w:p>
        </w:tc>
        <w:tc>
          <w:tcPr>
            <w:tcW w:w="3175" w:type="dxa"/>
            <w:vAlign w:val="center"/>
          </w:tcPr>
          <w:p w14:paraId="55CB73D5">
            <w:pPr>
              <w:keepNext w:val="0"/>
              <w:spacing w:before="40" w:after="40" w:line="300" w:lineRule="auto"/>
              <w:ind w:firstLine="0"/>
              <w:jc w:val="left"/>
            </w:pPr>
            <w:r>
              <w:rPr>
                <w:sz w:val="21"/>
              </w:rPr>
              <w:t>条件测试跳过</w:t>
            </w:r>
          </w:p>
        </w:tc>
        <w:tc>
          <w:tcPr>
            <w:tcW w:w="3798" w:type="dxa"/>
            <w:vAlign w:val="center"/>
          </w:tcPr>
          <w:p w14:paraId="7873B0E1">
            <w:pPr>
              <w:keepNext w:val="0"/>
              <w:spacing w:before="40" w:after="40" w:line="300" w:lineRule="auto"/>
              <w:ind w:firstLine="0"/>
              <w:jc w:val="left"/>
            </w:pPr>
            <w:r>
              <w:rPr>
                <w:sz w:val="21"/>
              </w:rPr>
              <w:t>授权照片、模型输出与阈值配置</w:t>
            </w:r>
          </w:p>
        </w:tc>
      </w:tr>
      <w:tr w14:paraId="7A1431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3D559BF">
            <w:pPr>
              <w:keepNext w:val="0"/>
              <w:spacing w:before="40" w:after="40" w:line="300" w:lineRule="auto"/>
              <w:ind w:firstLine="0"/>
              <w:jc w:val="left"/>
            </w:pPr>
            <w:r>
              <w:rPr>
                <w:sz w:val="21"/>
              </w:rPr>
              <w:t>摄像头真实采集</w:t>
            </w:r>
          </w:p>
        </w:tc>
        <w:tc>
          <w:tcPr>
            <w:tcW w:w="3175" w:type="dxa"/>
            <w:vAlign w:val="center"/>
          </w:tcPr>
          <w:p w14:paraId="533FA9EE">
            <w:pPr>
              <w:keepNext w:val="0"/>
              <w:spacing w:before="40" w:after="40" w:line="300" w:lineRule="auto"/>
              <w:ind w:firstLine="0"/>
              <w:jc w:val="left"/>
            </w:pPr>
            <w:r>
              <w:rPr>
                <w:sz w:val="21"/>
              </w:rPr>
              <w:t>未执行</w:t>
            </w:r>
          </w:p>
        </w:tc>
        <w:tc>
          <w:tcPr>
            <w:tcW w:w="3798" w:type="dxa"/>
            <w:vAlign w:val="center"/>
          </w:tcPr>
          <w:p w14:paraId="64115100">
            <w:pPr>
              <w:keepNext w:val="0"/>
              <w:spacing w:before="40" w:after="40" w:line="300" w:lineRule="auto"/>
              <w:ind w:firstLine="0"/>
              <w:jc w:val="left"/>
            </w:pPr>
            <w:r>
              <w:rPr>
                <w:sz w:val="21"/>
              </w:rPr>
              <w:t>操作者、时间、设备与抽验任务记录</w:t>
            </w:r>
          </w:p>
        </w:tc>
      </w:tr>
      <w:tr w14:paraId="155DC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DAE96BD">
            <w:pPr>
              <w:keepNext w:val="0"/>
              <w:spacing w:before="40" w:after="40" w:line="300" w:lineRule="auto"/>
              <w:ind w:firstLine="0"/>
              <w:jc w:val="left"/>
            </w:pPr>
            <w:r>
              <w:rPr>
                <w:sz w:val="21"/>
              </w:rPr>
              <w:t>1、5、10学员学习实验</w:t>
            </w:r>
          </w:p>
        </w:tc>
        <w:tc>
          <w:tcPr>
            <w:tcW w:w="3175" w:type="dxa"/>
            <w:vAlign w:val="center"/>
          </w:tcPr>
          <w:p w14:paraId="4A81C58E">
            <w:pPr>
              <w:keepNext w:val="0"/>
              <w:spacing w:before="40" w:after="40" w:line="300" w:lineRule="auto"/>
              <w:ind w:firstLine="0"/>
              <w:jc w:val="left"/>
            </w:pPr>
            <w:r>
              <w:rPr>
                <w:sz w:val="21"/>
              </w:rPr>
              <w:t>尚无实测数值</w:t>
            </w:r>
          </w:p>
        </w:tc>
        <w:tc>
          <w:tcPr>
            <w:tcW w:w="3798" w:type="dxa"/>
            <w:vAlign w:val="center"/>
          </w:tcPr>
          <w:p w14:paraId="0B2F5B9B">
            <w:pPr>
              <w:keepNext w:val="0"/>
              <w:spacing w:before="40" w:after="40" w:line="300" w:lineRule="auto"/>
              <w:ind w:firstLine="0"/>
              <w:jc w:val="left"/>
            </w:pPr>
            <w:r>
              <w:rPr>
                <w:sz w:val="21"/>
              </w:rPr>
              <w:t>独立样本的JSON指标报告</w:t>
            </w:r>
          </w:p>
        </w:tc>
      </w:tr>
      <w:tr w14:paraId="56D1EC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E034053">
            <w:pPr>
              <w:keepNext w:val="0"/>
              <w:spacing w:before="40" w:after="40" w:line="300" w:lineRule="auto"/>
              <w:ind w:firstLine="0"/>
              <w:jc w:val="left"/>
            </w:pPr>
            <w:r>
              <w:rPr>
                <w:sz w:val="21"/>
              </w:rPr>
              <w:t>MySQL与服务重启恢复</w:t>
            </w:r>
          </w:p>
        </w:tc>
        <w:tc>
          <w:tcPr>
            <w:tcW w:w="3175" w:type="dxa"/>
            <w:vAlign w:val="center"/>
          </w:tcPr>
          <w:p w14:paraId="3F7B309A">
            <w:pPr>
              <w:keepNext w:val="0"/>
              <w:spacing w:before="40" w:after="40" w:line="300" w:lineRule="auto"/>
              <w:ind w:firstLine="0"/>
              <w:jc w:val="left"/>
            </w:pPr>
            <w:r>
              <w:rPr>
                <w:sz w:val="21"/>
              </w:rPr>
              <w:t>未执行</w:t>
            </w:r>
          </w:p>
        </w:tc>
        <w:tc>
          <w:tcPr>
            <w:tcW w:w="3798" w:type="dxa"/>
            <w:vAlign w:val="center"/>
          </w:tcPr>
          <w:p w14:paraId="5FA94573">
            <w:pPr>
              <w:keepNext w:val="0"/>
              <w:spacing w:before="40" w:after="40" w:line="300" w:lineRule="auto"/>
              <w:ind w:firstLine="0"/>
              <w:jc w:val="left"/>
            </w:pPr>
            <w:r>
              <w:rPr>
                <w:sz w:val="21"/>
              </w:rPr>
              <w:t>事件标识关联的Outbox与消费日志</w:t>
            </w:r>
          </w:p>
        </w:tc>
      </w:tr>
      <w:tr w14:paraId="62B967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E1C7873">
            <w:pPr>
              <w:keepNext w:val="0"/>
              <w:spacing w:before="40" w:after="40" w:line="300" w:lineRule="auto"/>
              <w:ind w:firstLine="0"/>
              <w:jc w:val="left"/>
            </w:pPr>
            <w:r>
              <w:rPr>
                <w:sz w:val="21"/>
              </w:rPr>
              <w:t>自然到期档案</w:t>
            </w:r>
          </w:p>
        </w:tc>
        <w:tc>
          <w:tcPr>
            <w:tcW w:w="3175" w:type="dxa"/>
            <w:vAlign w:val="center"/>
          </w:tcPr>
          <w:p w14:paraId="553C28B8">
            <w:pPr>
              <w:keepNext w:val="0"/>
              <w:spacing w:before="40" w:after="40" w:line="300" w:lineRule="auto"/>
              <w:ind w:firstLine="0"/>
              <w:jc w:val="left"/>
            </w:pPr>
            <w:r>
              <w:rPr>
                <w:sz w:val="21"/>
              </w:rPr>
              <w:t>待真实流程完成</w:t>
            </w:r>
          </w:p>
        </w:tc>
        <w:tc>
          <w:tcPr>
            <w:tcW w:w="3798" w:type="dxa"/>
            <w:vAlign w:val="center"/>
          </w:tcPr>
          <w:p w14:paraId="32549254">
            <w:pPr>
              <w:keepNext w:val="0"/>
              <w:spacing w:before="40" w:after="40" w:line="300" w:lineRule="auto"/>
              <w:ind w:firstLine="0"/>
              <w:jc w:val="left"/>
            </w:pPr>
            <w:r>
              <w:rPr>
                <w:sz w:val="21"/>
              </w:rPr>
              <w:t>到期前后任务与只读查询记录</w:t>
            </w:r>
          </w:p>
        </w:tc>
      </w:tr>
    </w:tbl>
    <w:p w14:paraId="0105D96C">
      <w:pPr>
        <w:spacing w:after="80" w:line="240" w:lineRule="auto"/>
      </w:pPr>
    </w:p>
    <w:p w14:paraId="03BBC40E">
      <w:pPr>
        <w:jc w:val="both"/>
      </w:pPr>
      <w:r>
        <w:t>这些未完成项目限制了结论范围。9月13日版本已具有人员车辆绑定、个人资料、签到签退核验、照片留档、自然日周期、先学后考、提前结业和播放恢复的实现及相关测试代码；本次只核对代码与论文，未执行这些新场景。后续应补验核验凭据过期及跨事件复用、照片越权预览、同日与到期边界、学习未完成时开考、全员结业后的周期内回看，以及断线切片恢复。实验须保留失败记录、代码版本、数据初态和时间信息，不以直接修改数据库状态制造成功结果。</w:t>
      </w:r>
    </w:p>
    <w:p w14:paraId="22BEAFFE">
      <w:pPr>
        <w:jc w:val="both"/>
      </w:pPr>
      <w:r>
        <w:t>若进一步研究培训对道路安全的作用，还需设计独立效果评价。Stephan等开展的新手驾驶员培训随机试验在完成活动者中观察到安全意向变化，但未获得事故减少的结果，失访也限制了分析。</w:t>
      </w:r>
      <w:r>
        <w:rPr>
          <w:vertAlign w:val="superscript"/>
        </w:rPr>
        <w:t>[21]</w:t>
      </w:r>
      <w:r>
        <w:t>该研究的对象与企业驾驶员不同，不能直接推广；它说明软件功能通过验收与培训产生安全成效属于两个研究问题。本文没有收集真实驾驶事故与行为对照数据，因此不对后一问题作效果判断。</w:t>
      </w:r>
    </w:p>
    <w:p w14:paraId="508207CA">
      <w:pPr>
        <w:pStyle w:val="3"/>
        <w:pageBreakBefore/>
      </w:pPr>
      <w:bookmarkStart w:id="45" w:name="_Toc6342"/>
      <w:r>
        <w:t>7 总结与展望</w:t>
      </w:r>
      <w:bookmarkEnd w:id="45"/>
    </w:p>
    <w:p w14:paraId="5BBBA872">
      <w:pPr>
        <w:pStyle w:val="4"/>
        <w:pageBreakBefore w:val="0"/>
      </w:pPr>
      <w:bookmarkStart w:id="46" w:name="_Toc30410"/>
      <w:r>
        <w:t>7.1 研究总结</w:t>
      </w:r>
      <w:bookmarkEnd w:id="46"/>
    </w:p>
    <w:p w14:paraId="7FDDA531">
      <w:pPr>
        <w:jc w:val="both"/>
      </w:pPr>
      <w:r>
        <w:t>本研究围绕道路运输企业在线培训中“学时如何形成、结果如何同步、历史如何查询”三个具体问题，完成了需求、架构、数据和核心实现的分析。系统以Dubbo连接管理、培训与学习服务，采用课程发布快照固定任务依据，以服务端时间和播放位置共同约束有效学时，并通过抽验与考试补充过程和结果记录。企业隔离贯穿对象查询和修改，档案使用独立只读路径保存已结束任务的可访问性。</w:t>
      </w:r>
    </w:p>
    <w:p w14:paraId="0319A87F">
      <w:pPr>
        <w:jc w:val="both"/>
      </w:pPr>
      <w:r>
        <w:t>研究形成的工程认识主要体现在规则之间的衔接。保守计时能够限制异常增量，但会出现课件结束而学时不足的状态，因此必须提供遵守原计时规则的补学入口。Outbox能够保留待发送事件，但发送成功判断还必须区分代理确认与路由退回，消费端则需要处理重复和迟到。抽验留痕必须以任务为主体，才能记录没有提交照片的超时行为。这些处理把正常流程之外的状态组合纳入了实现与测试。</w:t>
      </w:r>
    </w:p>
    <w:p w14:paraId="07FDE168">
      <w:pPr>
        <w:jc w:val="both"/>
      </w:pPr>
      <w:r>
        <w:t>截至2026年9月9日的验收记录显示，后端210项测试中208项通过、2项因真实依赖条件跳过，11项MySQL集成测试全部执行通过，前端55项单测、4项条件守卫和5项UI契约测试通过。结果支持已覆盖规则与组件行为的实现结论，同时揭示真实媒体和照片验证仍未完成。本文不将自动化通过数量扩展为生产稳定性、真人识别准确率或培训效果提升的证明。</w:t>
      </w:r>
    </w:p>
    <w:p w14:paraId="7E32D21D">
      <w:pPr>
        <w:pStyle w:val="4"/>
        <w:pageBreakBefore w:val="0"/>
      </w:pPr>
      <w:bookmarkStart w:id="47" w:name="_Toc3594"/>
      <w:r>
        <w:t>7.2 局限与后续工作</w:t>
      </w:r>
      <w:bookmarkEnd w:id="47"/>
    </w:p>
    <w:p w14:paraId="3D524569">
      <w:pPr>
        <w:jc w:val="both"/>
      </w:pPr>
      <w:r>
        <w:t>后续工作首先应完成真实依赖下的业务闭环：使用专用私有OSS、授权照片和独立学员任务，贯通上传、播放、抽验、考试与统计；再执行断线、乱序、服务重启和自然到期档案实验。真实学习并发应记录环境资源、初始任务状态和完整指标，观察学时差额分布及状态可见时间，从而检验当前保守计时与补学方式在实际使用中的代价。</w:t>
      </w:r>
    </w:p>
    <w:p w14:paraId="2619C0D0">
      <w:pPr>
        <w:jc w:val="both"/>
      </w:pPr>
      <w:r>
        <w:t>身份核验需要进一步验证同人不同照片、不同人、多人和复杂拍摄条件，并明确模型阈值的适用范围。活体检测和攻击防护应单独提出测试目标，不能从相似度比较自然推导。应用层还应补齐非人脸替代核验、告知授权和信息保存删除流程，使身份确认与个人信息保护要求在同一业务流程中得到落实。</w:t>
      </w:r>
    </w:p>
    <w:p w14:paraId="20CC5C5E">
      <w:pPr>
        <w:jc w:val="both"/>
      </w:pPr>
      <w:r>
        <w:t>架构扩展宜在单实例闭环稳定之后开展。多实例Realtime需要共享或协调连接归属，消息恢复需要真实持久化与重启验证，TLS部署需要重新检查媒体、Cookie和摄像头安全上下文。跨企业行业监管应建立与企业自有查询不同的授权模型。只有补齐这些证据，才能进一步讨论生产部署与规模化使用；现阶段的研究贡献是形成一套职责明确、过程可解释且具有验证入口的企业培训实现方案。</w:t>
      </w:r>
    </w:p>
    <w:p w14:paraId="683E1EC6">
      <w:pPr>
        <w:pStyle w:val="3"/>
        <w:pageBreakBefore/>
      </w:pPr>
      <w:bookmarkStart w:id="48" w:name="_Toc978"/>
      <w:r>
        <w:t>致谢</w:t>
      </w:r>
      <w:bookmarkEnd w:id="48"/>
    </w:p>
    <w:p w14:paraId="4492D7C0">
      <w:pPr>
        <w:jc w:val="both"/>
      </w:pPr>
      <w:r>
        <w:t>本项目的开发和验证使用了Apache Dubbo、Spring、Vue、OpenCV等开源项目，以及相关工具的公开文档。感谢这些项目的维护者和贡献者，使系统实现与问题复现具有可查阅的技术基础。也感谢本文所引研究的作者，其对培训效果、学习分析、身份核验和服务一致性的讨论，为辨别系统能够说明什么、尚需验证什么提供了具体参照。</w:t>
      </w:r>
    </w:p>
    <w:p w14:paraId="2BF112BF">
      <w:pPr>
        <w:jc w:val="both"/>
      </w:pPr>
      <w:r>
        <w:t>论文中的实现分析、结果解释和不足说明仍需在后续修改中继续核对。对实际参与指导、项目协作和测试支持的人员，将在确认姓名及具体帮助内容后补充致谢。</w:t>
      </w:r>
    </w:p>
    <w:p w14:paraId="4531FA4F">
      <w:pPr>
        <w:pStyle w:val="3"/>
        <w:pageBreakBefore/>
        <w:spacing w:after="360"/>
      </w:pPr>
      <w:bookmarkStart w:id="49" w:name="_Toc16783"/>
      <w:r>
        <w:t>参考文献</w:t>
      </w:r>
      <w:bookmarkEnd w:id="49"/>
    </w:p>
    <w:p w14:paraId="3870104C">
      <w:pPr>
        <w:pStyle w:val="169"/>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50" w:name="_Toc30215"/>
      <w:r>
        <w:t>附录A 项目证据与复现入口</w:t>
      </w:r>
      <w:bookmarkEnd w:id="50"/>
    </w:p>
    <w:p w14:paraId="40FE8AA9">
      <w:pPr>
        <w:jc w:val="both"/>
      </w:pPr>
      <w:r>
        <w:t>本附录列出论文实现与测试结论的仓库证据。路径以项目根目录为基准，实现说明于2026年9月13日增量核对至提交96a8d84，覆盖CHG-20260913-01～15；具体条目、文件范围及论文版本登记在docs/changes/2026-09-13-since-09-07.md。测试仍引用存档执行结果，后端CI为fcbb506、前端CI为7ca2f94，本次未重跑业务测试。</w:t>
      </w:r>
    </w:p>
    <w:p w14:paraId="6265B265">
      <w:pPr>
        <w:pStyle w:val="4"/>
      </w:pPr>
      <w:bookmarkStart w:id="51" w:name="_Toc28356"/>
      <w:r>
        <w:t>A.1 业务与实现</w:t>
      </w:r>
      <w:bookmarkEnd w:id="51"/>
    </w:p>
    <w:p w14:paraId="18AB7D5D">
      <w:pPr>
        <w:jc w:val="left"/>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52" w:name="_Toc25739"/>
      <w:r>
        <w:t>A.2 测试与数据</w:t>
      </w:r>
      <w:bookmarkEnd w:id="52"/>
    </w:p>
    <w:p w14:paraId="407F414C">
      <w:pPr>
        <w:jc w:val="left"/>
      </w:pPr>
      <w:r>
        <w:t>最新结果见docs/test/acceptance-2026-09-09.md及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53" w:name="_Toc15340"/>
      <w:r>
        <w:t>A.3 待开展实验</w:t>
      </w:r>
      <w:bookmarkEnd w:id="53"/>
    </w:p>
    <w:p w14:paraId="751D2E9E">
      <w:pPr>
        <w:jc w:val="left"/>
      </w:pPr>
      <w:r>
        <w:t>真实媒体步骤见docs/test/media-acceptance.md，证据状态见docs/thesis/evidence-index.md。本机启动说明见docs/deployment/local-demo.md。后端复现命令为mvn --batch-mode --no-transfer-progress -f backend/pom.xml clean verify；数据库门禁为python3 scripts/check-database-tests.py。执行真实外部依赖实验前按手册提供专用测试条件。</w:t>
      </w:r>
    </w:p>
    <w:p w14:paraId="57FAD649">
      <w:pPr>
        <w:pStyle w:val="170"/>
      </w:pPr>
      <w:r>
        <w:t>后端CI原始作业：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pPr>
      <w:r>
        <w:t>前端CI原始作业：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p w14:paraId="2B7726A8">
      <w:pPr>
        <w:pStyle w:val="3"/>
        <w:pageBreakBefore/>
      </w:pPr>
      <w:bookmarkStart w:id="54" w:name="_Toc16796"/>
      <w:r>
        <w:t>附录B 初稿排版约定与待补信息</w:t>
      </w:r>
      <w:bookmarkEnd w:id="54"/>
    </w:p>
    <w:p w14:paraId="4D2705F1">
      <w:pPr>
        <w:jc w:val="both"/>
      </w:pPr>
      <w:r>
        <w:t>本稿按《论文写作与格式规范.md》设置标题、正文、中英文摘要、上标引用和参考文献，目录由Word根据标题样式自动生成。规范没有明确的页面参数暂作为项目内部排版约定：A4纸，上下左右页边距25毫米；封面、承诺书和目录不显示页码，摘要以罗马数字从I开始，正文从阿拉伯数字1重新编号，后续部分连续编号；摘要和正文显示页眉，各章另起一页。图题位于图下、表题位于表上，图表文字与编号统一设置。以上补充设置不作为学校新增要求。</w:t>
      </w:r>
    </w:p>
    <w:p w14:paraId="29B9EAC1">
      <w:pPr>
        <w:jc w:val="both"/>
      </w:pPr>
      <w:r>
        <w:t>封面姓名、准考证号、专业名称、专业代码及指导教师全名尚待填写；承诺人应由作者本人签名，日期与封面一致。致谢应补充实际帮助者及具体贡献。定稿前需按指导教师意见确认页边距、页眉适用范围、图表样式和附录目录收录方式，并更新整个自动目录。</w:t>
      </w:r>
    </w:p>
    <w:p w14:paraId="10040B32">
      <w:pPr>
        <w:jc w:val="both"/>
      </w:pPr>
      <w:r>
        <w:t>参考文献按首次出现顺序编号。近五年以2021年9月9日至2026年9月9日计算，按正式发表时间统计；无明确更新日期的技术文档不计为近五年资料。本文所引国外职业安全、驾驶行为、学习分析和微服务研究具有国外研究机构背景，不仅按英文标题判断来源。法规按对应原始公布或修正日期著录，不能将网站转载日期替换为法规形成时间。</w:t>
      </w:r>
    </w:p>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76B79EC"/>
    <w:rsid w:val="19F416DC"/>
    <w:rsid w:val="1B0D00A7"/>
    <w:rsid w:val="1B8952F5"/>
    <w:rsid w:val="31C13B9D"/>
    <w:rsid w:val="32D85F2F"/>
    <w:rsid w:val="41DA1552"/>
    <w:rsid w:val="43803E5D"/>
    <w:rsid w:val="492B1C6E"/>
    <w:rsid w:val="4A9075DE"/>
    <w:rsid w:val="5A9875DF"/>
    <w:rsid w:val="5B2D4374"/>
    <w:rsid w:val="61832081"/>
    <w:rsid w:val="61D136B7"/>
    <w:rsid w:val="656F30D6"/>
    <w:rsid w:val="66F9203B"/>
    <w:rsid w:val="6CA63A9D"/>
    <w:rsid w:val="760342F6"/>
    <w:rsid w:val="76994AA4"/>
    <w:rsid w:val="7DDC05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675</Words>
  <Characters>842</Characters>
  <Lines>0</Lines>
  <Paragraphs>0</Paragraphs>
  <TotalTime>18</TotalTime>
  <ScaleCrop>false</ScaleCrop>
  <LinksUpToDate>false</LinksUpToDate>
  <CharactersWithSpaces>1064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2026-09-14T09:08:16Z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