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391B5">
      <w:pPr>
        <w:pStyle w:val="167"/>
        <w:spacing w:before="1000" w:after="1300"/>
      </w:pPr>
      <w:bookmarkStart w:id="55" w:name="_GoBack"/>
      <w:bookmarkEnd w:id="55"/>
      <w:r>
        <w:t>自考毕业论文</w:t>
      </w:r>
    </w:p>
    <w:p w14:paraId="534D984F">
      <w:pPr>
        <w:pStyle w:val="34"/>
        <w:pBdr>
          <w:bottom w:val="none" w:color="auto" w:sz="0" w:space="0"/>
        </w:pBdr>
        <w:spacing w:after="1100"/>
      </w:pPr>
      <w:r>
        <w:t>基于Dubbo的道路运输企业</w:t>
      </w:r>
      <w:r>
        <w:br w:type="textWrapping"/>
      </w:r>
      <w:r>
        <w:t>在线培训系统设计与实现</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0B72A9FA">
      <w:pPr>
        <w:spacing w:after="360"/>
        <w:ind w:left="936" w:firstLine="0"/>
        <w:jc w:val="left"/>
        <w:tabs>
          <w:tab w:val="center" w:pos="3216"/>
          <w:tab w:val="left" w:pos="4296"/>
          <w:tab w:val="center" w:pos="7056"/>
          <w:tab w:val="left" w:pos="8136"/>
        </w:tabs>
      </w:pPr>
      <w:r>
        <w:t>姓　　名：</w:t>
      </w:r>
      <w:r>
        <w:rPr>
          <w:u w:val="single"/>
        </w:rPr>
        <w:tab/>
        <w:t>李剑</w:t>
        <w:tab/>
      </w:r>
      <w:r>
        <w:t>　　准考证号：</w:t>
      </w:r>
      <w:r>
        <w:rPr>
          <w:u w:val="single"/>
        </w:rPr>
        <w:tab/>
        <w:t>010121202820</w:t>
        <w:tab/>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410CE0CA">
      <w:pPr>
        <w:spacing w:after="360"/>
        <w:ind w:left="936" w:firstLine="0"/>
        <w:jc w:val="left"/>
        <w:tabs>
          <w:tab w:val="center" w:pos="3216"/>
          <w:tab w:val="left" w:pos="4296"/>
          <w:tab w:val="center" w:pos="7056"/>
          <w:tab w:val="left" w:pos="8136"/>
        </w:tabs>
      </w:pPr>
      <w:r>
        <w:t>专业名称：</w:t>
      </w:r>
      <w:r>
        <w:rPr>
          <w:u w:val="single"/>
        </w:rPr>
        <w:tab/>
        <w:t>计算机科学与技术</w:t>
        <w:tab/>
      </w:r>
      <w:r>
        <w:t>　　专业代码：</w:t>
      </w:r>
      <w:r>
        <w:rPr>
          <w:u w:val="single"/>
        </w:rPr>
        <w:tab/>
        <w:t>080901</w:t>
        <w:tab/>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1A999141">
      <w:pPr>
        <w:spacing w:after="360"/>
        <w:ind w:left="2856" w:firstLine="0"/>
        <w:jc w:val="left"/>
        <w:tabs>
          <w:tab w:val="center" w:pos="5136"/>
          <w:tab w:val="left" w:pos="6216"/>
        </w:tabs>
      </w:pPr>
      <w:r>
        <w:t>指导教师：</w:t>
      </w:r>
      <w:r>
        <w:rPr>
          <w:u w:val="single"/>
        </w:rPr>
        <w:tab/>
        <w:t>王鲁瑞</w:t>
        <w:tab/>
      </w:r>
    </w:p>
    <w:p w14:paraId="3257B36D">
      <w:pPr>
        <w:spacing w:after="360"/>
        <w:ind w:firstLine="0"/>
        <w:jc w:val="center"/>
      </w:pPr>
      <w:r>
        <w:t>时间：2026年9月</w:t>
      </w:r>
    </w:p>
    <w:p w14:paraId="6CC117E4">
      <w:r>
        <w:br w:type="page"/>
      </w:r>
    </w:p>
    <w:p w14:paraId="3A22734A">
      <w:pPr>
        <w:pStyle w:val="167"/>
      </w:pPr>
      <w:r>
        <w:t>诚信承诺书</w:t>
      </w:r>
    </w:p>
    <w:p w14:paraId="7A56A8B9">
      <w:pPr>
        <w:jc w:val="both"/>
      </w:pPr>
      <w:r>
        <w:t>本人承诺，在毕业设计（论文）的各种检查、评比中，如经本人所在学院或学校认定有抄袭、剽窃等行为，愿按学校有关规定接受处理，并承担相应法律责任。</w:t>
      </w:r>
    </w:p>
    <w:p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w14:paraId="678FAE20">
      <w:pPr>
        <w:spacing w:before="1200"/>
        <w:ind w:left="5952" w:firstLine="0"/>
        <w:jc w:val="left"/>
        <w:tabs>
          <w:tab w:val="center" w:pos="7992"/>
          <w:tab w:val="left" w:pos="9072"/>
        </w:tabs>
      </w:pPr>
      <w:r>
        <w:t>承诺人：</w:t>
      </w:r>
      <w:r>
        <w:rPr>
          <w:u w:val="single"/>
        </w:rPr>
        <w:tab/>
        <w:t>李剑</w:t>
        <w:tab/>
      </w:r>
    </w:p>
    <w:p w14:paraId="77DD1171">
      <w:pPr>
        <w:jc w:val="right"/>
      </w:pPr>
      <w:r>
        <w:t>时间：2026年9月</w:t>
      </w:r>
    </w:p>
    <w:p w14:paraId="3FD1F239">
      <w:r>
        <w:br w:type="page"/>
      </w:r>
    </w:p>
    <w:p w14:paraId="5D793BAE">
      <w:pPr>
        <w:pStyle w:val="167"/>
      </w:pPr>
      <w:r>
        <w:t>目录</w:t>
      </w:r>
    </w:p>
    <w:p w14:paraId="7F339201">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_Toc27643 </w:instrText>
      </w:r>
      <w:r>
        <w:fldChar w:fldCharType="separate"/>
      </w:r>
      <w:r>
        <w:t>摘要</w:t>
      </w:r>
      <w:r>
        <w:tab/>
      </w:r>
      <w:r>
        <w:fldChar w:fldCharType="begin"/>
      </w:r>
      <w:r>
        <w:instrText xml:space="preserve"> PAGEREF _Toc27643 \h </w:instrText>
      </w:r>
      <w:r>
        <w:fldChar w:fldCharType="separate"/>
      </w:r>
      <w:r>
        <w:t>I</w:t>
      </w:r>
      <w:r>
        <w:fldChar w:fldCharType="end"/>
      </w:r>
      <w:r>
        <w:fldChar w:fldCharType="end"/>
      </w:r>
    </w:p>
    <w:p w14:paraId="17DA7EA7">
      <w:pPr>
        <w:pStyle w:val="27"/>
        <w:tabs>
          <w:tab w:val="right" w:leader="dot" w:pos="9072"/>
        </w:tabs>
      </w:pPr>
      <w:r>
        <w:fldChar w:fldCharType="begin"/>
      </w:r>
      <w:r>
        <w:instrText xml:space="preserve"> HYPERLINK \l _Toc14631 </w:instrText>
      </w:r>
      <w:r>
        <w:fldChar w:fldCharType="separate"/>
      </w:r>
      <w:r>
        <w:t>Abstract</w:t>
      </w:r>
      <w:r>
        <w:tab/>
      </w:r>
      <w:r>
        <w:fldChar w:fldCharType="begin"/>
      </w:r>
      <w:r>
        <w:instrText xml:space="preserve"> PAGEREF _Toc14631 \h </w:instrText>
      </w:r>
      <w:r>
        <w:fldChar w:fldCharType="separate"/>
      </w:r>
      <w:r>
        <w:t>II</w:t>
      </w:r>
      <w:r>
        <w:fldChar w:fldCharType="end"/>
      </w:r>
      <w:r>
        <w:fldChar w:fldCharType="end"/>
      </w:r>
    </w:p>
    <w:p w14:paraId="0FE74D28">
      <w:pPr>
        <w:pStyle w:val="27"/>
        <w:tabs>
          <w:tab w:val="right" w:leader="dot" w:pos="9072"/>
        </w:tabs>
      </w:pPr>
      <w:r>
        <w:fldChar w:fldCharType="begin"/>
      </w:r>
      <w:r>
        <w:instrText xml:space="preserve"> HYPERLINK \l _Toc21515 </w:instrText>
      </w:r>
      <w:r>
        <w:fldChar w:fldCharType="separate"/>
      </w:r>
      <w:r>
        <w:t>1 绪论</w:t>
      </w:r>
      <w:r>
        <w:tab/>
      </w:r>
      <w:r>
        <w:fldChar w:fldCharType="begin"/>
      </w:r>
      <w:r>
        <w:instrText xml:space="preserve"> PAGEREF _Toc21515 \h </w:instrText>
      </w:r>
      <w:r>
        <w:fldChar w:fldCharType="separate"/>
      </w:r>
      <w:r>
        <w:t>1</w:t>
      </w:r>
      <w:r>
        <w:fldChar w:fldCharType="end"/>
      </w:r>
      <w:r>
        <w:fldChar w:fldCharType="end"/>
      </w:r>
    </w:p>
    <w:p w14:paraId="44161B50">
      <w:pPr>
        <w:pStyle w:val="30"/>
        <w:tabs>
          <w:tab w:val="right" w:leader="dot" w:pos="9072"/>
        </w:tabs>
      </w:pPr>
      <w:r>
        <w:fldChar w:fldCharType="begin"/>
      </w:r>
      <w:r>
        <w:instrText xml:space="preserve"> HYPERLINK \l _Toc1877 </w:instrText>
      </w:r>
      <w:r>
        <w:fldChar w:fldCharType="separate"/>
      </w:r>
      <w:r>
        <w:t>1.1 研究背景与问题提出</w:t>
      </w:r>
      <w:r>
        <w:tab/>
      </w:r>
      <w:r>
        <w:fldChar w:fldCharType="begin"/>
      </w:r>
      <w:r>
        <w:instrText xml:space="preserve"> PAGEREF _Toc1877 \h </w:instrText>
      </w:r>
      <w:r>
        <w:fldChar w:fldCharType="separate"/>
      </w:r>
      <w:r>
        <w:t>1</w:t>
      </w:r>
      <w:r>
        <w:fldChar w:fldCharType="end"/>
      </w:r>
      <w:r>
        <w:fldChar w:fldCharType="end"/>
      </w:r>
    </w:p>
    <w:p w14:paraId="1E9F3C18">
      <w:pPr>
        <w:pStyle w:val="30"/>
        <w:tabs>
          <w:tab w:val="right" w:leader="dot" w:pos="9072"/>
        </w:tabs>
      </w:pPr>
      <w:r>
        <w:fldChar w:fldCharType="begin"/>
      </w:r>
      <w:r>
        <w:instrText xml:space="preserve"> HYPERLINK \l _Toc7 </w:instrText>
      </w:r>
      <w:r>
        <w:fldChar w:fldCharType="separate"/>
      </w:r>
      <w:r>
        <w:t>1.2 研究目标与意义</w:t>
      </w:r>
      <w:r>
        <w:tab/>
      </w:r>
      <w:r>
        <w:fldChar w:fldCharType="begin"/>
      </w:r>
      <w:r>
        <w:instrText xml:space="preserve"> PAGEREF _Toc7 \h </w:instrText>
      </w:r>
      <w:r>
        <w:fldChar w:fldCharType="separate"/>
      </w:r>
      <w:r>
        <w:t>1</w:t>
      </w:r>
      <w:r>
        <w:fldChar w:fldCharType="end"/>
      </w:r>
      <w:r>
        <w:fldChar w:fldCharType="end"/>
      </w:r>
    </w:p>
    <w:p w14:paraId="65C9CC0F">
      <w:pPr>
        <w:pStyle w:val="30"/>
        <w:tabs>
          <w:tab w:val="right" w:leader="dot" w:pos="9072"/>
        </w:tabs>
      </w:pPr>
      <w:r>
        <w:fldChar w:fldCharType="begin"/>
      </w:r>
      <w:r>
        <w:instrText xml:space="preserve"> HYPERLINK \l _Toc17135 </w:instrText>
      </w:r>
      <w:r>
        <w:fldChar w:fldCharType="separate"/>
      </w:r>
      <w:r>
        <w:t>1.3 国内外相关研究进展</w:t>
      </w:r>
      <w:r>
        <w:tab/>
      </w:r>
      <w:r>
        <w:fldChar w:fldCharType="begin"/>
      </w:r>
      <w:r>
        <w:instrText xml:space="preserve"> PAGEREF _Toc17135 \h </w:instrText>
      </w:r>
      <w:r>
        <w:fldChar w:fldCharType="separate"/>
      </w:r>
      <w:r>
        <w:t>2</w:t>
      </w:r>
      <w:r>
        <w:fldChar w:fldCharType="end"/>
      </w:r>
      <w:r>
        <w:fldChar w:fldCharType="end"/>
      </w:r>
    </w:p>
    <w:p w14:paraId="2C8A5515">
      <w:pPr>
        <w:pStyle w:val="30"/>
        <w:tabs>
          <w:tab w:val="right" w:leader="dot" w:pos="9072"/>
        </w:tabs>
      </w:pPr>
      <w:r>
        <w:fldChar w:fldCharType="begin"/>
      </w:r>
      <w:r>
        <w:instrText xml:space="preserve"> HYPERLINK \l _Toc1331 </w:instrText>
      </w:r>
      <w:r>
        <w:fldChar w:fldCharType="separate"/>
      </w:r>
      <w:r>
        <w:t>1.4 研究方法与论文组织</w:t>
      </w:r>
      <w:r>
        <w:tab/>
      </w:r>
      <w:r>
        <w:fldChar w:fldCharType="begin"/>
      </w:r>
      <w:r>
        <w:instrText xml:space="preserve"> PAGEREF _Toc1331 \h </w:instrText>
      </w:r>
      <w:r>
        <w:fldChar w:fldCharType="separate"/>
      </w:r>
      <w:r>
        <w:t>4</w:t>
      </w:r>
      <w:r>
        <w:fldChar w:fldCharType="end"/>
      </w:r>
      <w:r>
        <w:fldChar w:fldCharType="end"/>
      </w:r>
    </w:p>
    <w:p w14:paraId="795D81F8">
      <w:pPr>
        <w:pStyle w:val="27"/>
        <w:tabs>
          <w:tab w:val="right" w:leader="dot" w:pos="9072"/>
        </w:tabs>
      </w:pPr>
      <w:r>
        <w:fldChar w:fldCharType="begin"/>
      </w:r>
      <w:r>
        <w:instrText xml:space="preserve"> HYPERLINK \l _Toc10144 </w:instrText>
      </w:r>
      <w:r>
        <w:fldChar w:fldCharType="separate"/>
      </w:r>
      <w:r>
        <w:t>2 相关理论与关键技术</w:t>
      </w:r>
      <w:r>
        <w:tab/>
      </w:r>
      <w:r>
        <w:fldChar w:fldCharType="begin"/>
      </w:r>
      <w:r>
        <w:instrText xml:space="preserve"> PAGEREF _Toc10144 \h </w:instrText>
      </w:r>
      <w:r>
        <w:fldChar w:fldCharType="separate"/>
      </w:r>
      <w:r>
        <w:t>5</w:t>
      </w:r>
      <w:r>
        <w:fldChar w:fldCharType="end"/>
      </w:r>
      <w:r>
        <w:fldChar w:fldCharType="end"/>
      </w:r>
    </w:p>
    <w:p w14:paraId="48CD6041">
      <w:pPr>
        <w:pStyle w:val="30"/>
        <w:tabs>
          <w:tab w:val="right" w:leader="dot" w:pos="9072"/>
        </w:tabs>
      </w:pPr>
      <w:r>
        <w:fldChar w:fldCharType="begin"/>
      </w:r>
      <w:r>
        <w:instrText xml:space="preserve"> HYPERLINK \l _Toc9758 </w:instrText>
      </w:r>
      <w:r>
        <w:fldChar w:fldCharType="separate"/>
      </w:r>
      <w:r>
        <w:t>2.1 服务边界与远程调用</w:t>
      </w:r>
      <w:r>
        <w:tab/>
      </w:r>
      <w:r>
        <w:fldChar w:fldCharType="begin"/>
      </w:r>
      <w:r>
        <w:instrText xml:space="preserve"> PAGEREF _Toc9758 \h </w:instrText>
      </w:r>
      <w:r>
        <w:fldChar w:fldCharType="separate"/>
      </w:r>
      <w:r>
        <w:t>5</w:t>
      </w:r>
      <w:r>
        <w:fldChar w:fldCharType="end"/>
      </w:r>
      <w:r>
        <w:fldChar w:fldCharType="end"/>
      </w:r>
    </w:p>
    <w:p w14:paraId="5526AC90">
      <w:pPr>
        <w:pStyle w:val="30"/>
        <w:tabs>
          <w:tab w:val="right" w:leader="dot" w:pos="9072"/>
        </w:tabs>
      </w:pPr>
      <w:r>
        <w:fldChar w:fldCharType="begin"/>
      </w:r>
      <w:r>
        <w:instrText xml:space="preserve"> HYPERLINK \l _Toc21770 </w:instrText>
      </w:r>
      <w:r>
        <w:fldChar w:fldCharType="separate"/>
      </w:r>
      <w:r>
        <w:t>2.2 状态机与有效学时</w:t>
      </w:r>
      <w:r>
        <w:tab/>
      </w:r>
      <w:r>
        <w:fldChar w:fldCharType="begin"/>
      </w:r>
      <w:r>
        <w:instrText xml:space="preserve"> PAGEREF _Toc21770 \h </w:instrText>
      </w:r>
      <w:r>
        <w:fldChar w:fldCharType="separate"/>
      </w:r>
      <w:r>
        <w:t>5</w:t>
      </w:r>
      <w:r>
        <w:fldChar w:fldCharType="end"/>
      </w:r>
      <w:r>
        <w:fldChar w:fldCharType="end"/>
      </w:r>
    </w:p>
    <w:p w14:paraId="5C40C03D">
      <w:pPr>
        <w:pStyle w:val="30"/>
        <w:tabs>
          <w:tab w:val="right" w:leader="dot" w:pos="9072"/>
        </w:tabs>
      </w:pPr>
      <w:r>
        <w:fldChar w:fldCharType="begin"/>
      </w:r>
      <w:r>
        <w:instrText xml:space="preserve"> HYPERLINK \l _Toc30210 </w:instrText>
      </w:r>
      <w:r>
        <w:fldChar w:fldCharType="separate"/>
      </w:r>
      <w:r>
        <w:t>2.3 本地事务与消息最终一致性</w:t>
      </w:r>
      <w:r>
        <w:tab/>
      </w:r>
      <w:r>
        <w:fldChar w:fldCharType="begin"/>
      </w:r>
      <w:r>
        <w:instrText xml:space="preserve"> PAGEREF _Toc30210 \h </w:instrText>
      </w:r>
      <w:r>
        <w:fldChar w:fldCharType="separate"/>
      </w:r>
      <w:r>
        <w:t>6</w:t>
      </w:r>
      <w:r>
        <w:fldChar w:fldCharType="end"/>
      </w:r>
      <w:r>
        <w:fldChar w:fldCharType="end"/>
      </w:r>
    </w:p>
    <w:p w14:paraId="6121A6AE">
      <w:pPr>
        <w:pStyle w:val="30"/>
        <w:tabs>
          <w:tab w:val="right" w:leader="dot" w:pos="9072"/>
        </w:tabs>
      </w:pPr>
      <w:r>
        <w:fldChar w:fldCharType="begin"/>
      </w:r>
      <w:r>
        <w:instrText xml:space="preserve"> HYPERLINK \l _Toc17173 </w:instrText>
      </w:r>
      <w:r>
        <w:fldChar w:fldCharType="separate"/>
      </w:r>
      <w:r>
        <w:t>2.4 身份抽验与信息保护</w:t>
      </w:r>
      <w:r>
        <w:tab/>
      </w:r>
      <w:r>
        <w:fldChar w:fldCharType="begin"/>
      </w:r>
      <w:r>
        <w:instrText xml:space="preserve"> PAGEREF _Toc17173 \h </w:instrText>
      </w:r>
      <w:r>
        <w:fldChar w:fldCharType="separate"/>
      </w:r>
      <w:r>
        <w:t>7</w:t>
      </w:r>
      <w:r>
        <w:fldChar w:fldCharType="end"/>
      </w:r>
      <w:r>
        <w:fldChar w:fldCharType="end"/>
      </w:r>
    </w:p>
    <w:p w14:paraId="63C77ECC">
      <w:pPr>
        <w:pStyle w:val="30"/>
        <w:tabs>
          <w:tab w:val="right" w:leader="dot" w:pos="9072"/>
        </w:tabs>
      </w:pPr>
      <w:r>
        <w:fldChar w:fldCharType="begin"/>
      </w:r>
      <w:r>
        <w:instrText xml:space="preserve"> HYPERLINK \l _Toc24668 </w:instrText>
      </w:r>
      <w:r>
        <w:fldChar w:fldCharType="separate"/>
      </w:r>
      <w:r>
        <w:t>2.5 前后端与持久化技术选择</w:t>
      </w:r>
      <w:r>
        <w:tab/>
      </w:r>
      <w:r>
        <w:fldChar w:fldCharType="begin"/>
      </w:r>
      <w:r>
        <w:instrText xml:space="preserve"> PAGEREF _Toc24668 \h </w:instrText>
      </w:r>
      <w:r>
        <w:fldChar w:fldCharType="separate"/>
      </w:r>
      <w:r>
        <w:t>7</w:t>
      </w:r>
      <w:r>
        <w:fldChar w:fldCharType="end"/>
      </w:r>
      <w:r>
        <w:fldChar w:fldCharType="end"/>
      </w:r>
    </w:p>
    <w:p w14:paraId="08DC0171">
      <w:pPr>
        <w:pStyle w:val="27"/>
        <w:tabs>
          <w:tab w:val="right" w:leader="dot" w:pos="9072"/>
        </w:tabs>
      </w:pPr>
      <w:r>
        <w:fldChar w:fldCharType="begin"/>
      </w:r>
      <w:r>
        <w:instrText xml:space="preserve"> HYPERLINK \l _Toc32181 </w:instrText>
      </w:r>
      <w:r>
        <w:fldChar w:fldCharType="separate"/>
      </w:r>
      <w:r>
        <w:t>3 需求与可行性分析</w:t>
      </w:r>
      <w:r>
        <w:tab/>
      </w:r>
      <w:r>
        <w:fldChar w:fldCharType="begin"/>
      </w:r>
      <w:r>
        <w:instrText xml:space="preserve"> PAGEREF _Toc32181 \h </w:instrText>
      </w:r>
      <w:r>
        <w:fldChar w:fldCharType="separate"/>
      </w:r>
      <w:r>
        <w:t>9</w:t>
      </w:r>
      <w:r>
        <w:fldChar w:fldCharType="end"/>
      </w:r>
      <w:r>
        <w:fldChar w:fldCharType="end"/>
      </w:r>
    </w:p>
    <w:p w14:paraId="4891F2E7">
      <w:pPr>
        <w:pStyle w:val="30"/>
        <w:tabs>
          <w:tab w:val="right" w:leader="dot" w:pos="9072"/>
        </w:tabs>
      </w:pPr>
      <w:r>
        <w:fldChar w:fldCharType="begin"/>
      </w:r>
      <w:r>
        <w:instrText xml:space="preserve"> HYPERLINK \l _Toc32273 </w:instrText>
      </w:r>
      <w:r>
        <w:fldChar w:fldCharType="separate"/>
      </w:r>
      <w:r>
        <w:t>3.1 用户角色与业务范围</w:t>
      </w:r>
      <w:r>
        <w:tab/>
      </w:r>
      <w:r>
        <w:fldChar w:fldCharType="begin"/>
      </w:r>
      <w:r>
        <w:instrText xml:space="preserve"> PAGEREF _Toc32273 \h </w:instrText>
      </w:r>
      <w:r>
        <w:fldChar w:fldCharType="separate"/>
      </w:r>
      <w:r>
        <w:t>9</w:t>
      </w:r>
      <w:r>
        <w:fldChar w:fldCharType="end"/>
      </w:r>
      <w:r>
        <w:fldChar w:fldCharType="end"/>
      </w:r>
    </w:p>
    <w:p w14:paraId="132F9B1F">
      <w:pPr>
        <w:pStyle w:val="30"/>
        <w:tabs>
          <w:tab w:val="right" w:leader="dot" w:pos="9072"/>
        </w:tabs>
      </w:pPr>
      <w:r>
        <w:fldChar w:fldCharType="begin"/>
      </w:r>
      <w:r>
        <w:instrText xml:space="preserve"> HYPERLINK \l _Toc3061 </w:instrText>
      </w:r>
      <w:r>
        <w:fldChar w:fldCharType="separate"/>
      </w:r>
      <w:r>
        <w:t>3.2 培训业务流程与功能需求</w:t>
      </w:r>
      <w:r>
        <w:tab/>
      </w:r>
      <w:r>
        <w:fldChar w:fldCharType="begin"/>
      </w:r>
      <w:r>
        <w:instrText xml:space="preserve"> PAGEREF _Toc3061 \h </w:instrText>
      </w:r>
      <w:r>
        <w:fldChar w:fldCharType="separate"/>
      </w:r>
      <w:r>
        <w:t>9</w:t>
      </w:r>
      <w:r>
        <w:fldChar w:fldCharType="end"/>
      </w:r>
      <w:r>
        <w:fldChar w:fldCharType="end"/>
      </w:r>
    </w:p>
    <w:p w14:paraId="637DC6E1">
      <w:pPr>
        <w:pStyle w:val="24"/>
        <w:tabs>
          <w:tab w:val="right" w:leader="dot" w:pos="9072"/>
        </w:tabs>
      </w:pPr>
      <w:r>
        <w:fldChar w:fldCharType="begin"/>
      </w:r>
      <w:r>
        <w:instrText xml:space="preserve"> HYPERLINK \l _Toc11476 </w:instrText>
      </w:r>
      <w:r>
        <w:fldChar w:fldCharType="separate"/>
      </w:r>
      <w:r>
        <w:t>3.2.1 课程与计划发布</w:t>
      </w:r>
      <w:r>
        <w:tab/>
      </w:r>
      <w:r>
        <w:fldChar w:fldCharType="begin"/>
      </w:r>
      <w:r>
        <w:instrText xml:space="preserve"> PAGEREF _Toc11476 \h </w:instrText>
      </w:r>
      <w:r>
        <w:fldChar w:fldCharType="separate"/>
      </w:r>
      <w:r>
        <w:t>9</w:t>
      </w:r>
      <w:r>
        <w:fldChar w:fldCharType="end"/>
      </w:r>
      <w:r>
        <w:fldChar w:fldCharType="end"/>
      </w:r>
    </w:p>
    <w:p w14:paraId="6F4E6F0E">
      <w:pPr>
        <w:pStyle w:val="24"/>
        <w:tabs>
          <w:tab w:val="right" w:leader="dot" w:pos="9072"/>
        </w:tabs>
      </w:pPr>
      <w:r>
        <w:fldChar w:fldCharType="begin"/>
      </w:r>
      <w:r>
        <w:instrText xml:space="preserve"> HYPERLINK \l _Toc17479 </w:instrText>
      </w:r>
      <w:r>
        <w:fldChar w:fldCharType="separate"/>
      </w:r>
      <w:r>
        <w:t>3.2.2 学习与异常恢复</w:t>
      </w:r>
      <w:r>
        <w:tab/>
      </w:r>
      <w:r>
        <w:fldChar w:fldCharType="begin"/>
      </w:r>
      <w:r>
        <w:instrText xml:space="preserve"> PAGEREF _Toc17479 \h </w:instrText>
      </w:r>
      <w:r>
        <w:fldChar w:fldCharType="separate"/>
      </w:r>
      <w:r>
        <w:t>10</w:t>
      </w:r>
      <w:r>
        <w:fldChar w:fldCharType="end"/>
      </w:r>
      <w:r>
        <w:fldChar w:fldCharType="end"/>
      </w:r>
    </w:p>
    <w:p w14:paraId="2706357D">
      <w:pPr>
        <w:pStyle w:val="24"/>
        <w:tabs>
          <w:tab w:val="right" w:leader="dot" w:pos="9072"/>
        </w:tabs>
      </w:pPr>
      <w:r>
        <w:fldChar w:fldCharType="begin"/>
      </w:r>
      <w:r>
        <w:instrText xml:space="preserve"> HYPERLINK \l _Toc17069 </w:instrText>
      </w:r>
      <w:r>
        <w:fldChar w:fldCharType="separate"/>
      </w:r>
      <w:r>
        <w:t>3.2.3 抽验与考试</w:t>
      </w:r>
      <w:r>
        <w:tab/>
      </w:r>
      <w:r>
        <w:fldChar w:fldCharType="begin"/>
      </w:r>
      <w:r>
        <w:instrText xml:space="preserve"> PAGEREF _Toc17069 \h </w:instrText>
      </w:r>
      <w:r>
        <w:fldChar w:fldCharType="separate"/>
      </w:r>
      <w:r>
        <w:t>10</w:t>
      </w:r>
      <w:r>
        <w:fldChar w:fldCharType="end"/>
      </w:r>
      <w:r>
        <w:fldChar w:fldCharType="end"/>
      </w:r>
    </w:p>
    <w:p w14:paraId="0F3FBB95">
      <w:pPr>
        <w:pStyle w:val="24"/>
        <w:tabs>
          <w:tab w:val="right" w:leader="dot" w:pos="9072"/>
        </w:tabs>
      </w:pPr>
      <w:r>
        <w:fldChar w:fldCharType="begin"/>
      </w:r>
      <w:r>
        <w:instrText xml:space="preserve"> HYPERLINK \l _Toc8298 </w:instrText>
      </w:r>
      <w:r>
        <w:fldChar w:fldCharType="separate"/>
      </w:r>
      <w:r>
        <w:t>3.2.4 档案与统计</w:t>
      </w:r>
      <w:r>
        <w:tab/>
      </w:r>
      <w:r>
        <w:fldChar w:fldCharType="begin"/>
      </w:r>
      <w:r>
        <w:instrText xml:space="preserve"> PAGEREF _Toc8298 \h </w:instrText>
      </w:r>
      <w:r>
        <w:fldChar w:fldCharType="separate"/>
      </w:r>
      <w:r>
        <w:t>10</w:t>
      </w:r>
      <w:r>
        <w:fldChar w:fldCharType="end"/>
      </w:r>
      <w:r>
        <w:fldChar w:fldCharType="end"/>
      </w:r>
    </w:p>
    <w:p w14:paraId="049107F9">
      <w:pPr>
        <w:pStyle w:val="30"/>
        <w:tabs>
          <w:tab w:val="right" w:leader="dot" w:pos="9072"/>
        </w:tabs>
      </w:pPr>
      <w:r>
        <w:fldChar w:fldCharType="begin"/>
      </w:r>
      <w:r>
        <w:instrText xml:space="preserve"> HYPERLINK \l _Toc18132 </w:instrText>
      </w:r>
      <w:r>
        <w:fldChar w:fldCharType="separate"/>
      </w:r>
      <w:r>
        <w:t>3.3 非功能需求</w:t>
      </w:r>
      <w:r>
        <w:tab/>
      </w:r>
      <w:r>
        <w:fldChar w:fldCharType="begin"/>
      </w:r>
      <w:r>
        <w:instrText xml:space="preserve"> PAGEREF _Toc18132 \h </w:instrText>
      </w:r>
      <w:r>
        <w:fldChar w:fldCharType="separate"/>
      </w:r>
      <w:r>
        <w:t>11</w:t>
      </w:r>
      <w:r>
        <w:fldChar w:fldCharType="end"/>
      </w:r>
      <w:r>
        <w:fldChar w:fldCharType="end"/>
      </w:r>
    </w:p>
    <w:p w14:paraId="4B11B8C4">
      <w:pPr>
        <w:pStyle w:val="30"/>
        <w:tabs>
          <w:tab w:val="right" w:leader="dot" w:pos="9072"/>
        </w:tabs>
      </w:pPr>
      <w:r>
        <w:fldChar w:fldCharType="begin"/>
      </w:r>
      <w:r>
        <w:instrText xml:space="preserve"> HYPERLINK \l _Toc30052 </w:instrText>
      </w:r>
      <w:r>
        <w:fldChar w:fldCharType="separate"/>
      </w:r>
      <w:r>
        <w:t>3.4 方案可行性与选择</w:t>
      </w:r>
      <w:r>
        <w:tab/>
      </w:r>
      <w:r>
        <w:fldChar w:fldCharType="begin"/>
      </w:r>
      <w:r>
        <w:instrText xml:space="preserve"> PAGEREF _Toc30052 \h </w:instrText>
      </w:r>
      <w:r>
        <w:fldChar w:fldCharType="separate"/>
      </w:r>
      <w:r>
        <w:t>11</w:t>
      </w:r>
      <w:r>
        <w:fldChar w:fldCharType="end"/>
      </w:r>
      <w:r>
        <w:fldChar w:fldCharType="end"/>
      </w:r>
    </w:p>
    <w:p w14:paraId="5168AE5B">
      <w:pPr>
        <w:pStyle w:val="27"/>
        <w:tabs>
          <w:tab w:val="right" w:leader="dot" w:pos="9072"/>
        </w:tabs>
      </w:pPr>
      <w:r>
        <w:fldChar w:fldCharType="begin"/>
      </w:r>
      <w:r>
        <w:instrText xml:space="preserve"> HYPERLINK \l _Toc8760 </w:instrText>
      </w:r>
      <w:r>
        <w:fldChar w:fldCharType="separate"/>
      </w:r>
      <w:r>
        <w:t>4 系统设计</w:t>
      </w:r>
      <w:r>
        <w:tab/>
      </w:r>
      <w:r>
        <w:fldChar w:fldCharType="begin"/>
      </w:r>
      <w:r>
        <w:instrText xml:space="preserve"> PAGEREF _Toc8760 \h </w:instrText>
      </w:r>
      <w:r>
        <w:fldChar w:fldCharType="separate"/>
      </w:r>
      <w:r>
        <w:t>13</w:t>
      </w:r>
      <w:r>
        <w:fldChar w:fldCharType="end"/>
      </w:r>
      <w:r>
        <w:fldChar w:fldCharType="end"/>
      </w:r>
    </w:p>
    <w:p w14:paraId="54B7BB4C">
      <w:pPr>
        <w:pStyle w:val="30"/>
        <w:tabs>
          <w:tab w:val="right" w:leader="dot" w:pos="9072"/>
        </w:tabs>
      </w:pPr>
      <w:r>
        <w:fldChar w:fldCharType="begin"/>
      </w:r>
      <w:r>
        <w:instrText xml:space="preserve"> HYPERLINK \l _Toc22624 </w:instrText>
      </w:r>
      <w:r>
        <w:fldChar w:fldCharType="separate"/>
      </w:r>
      <w:r>
        <w:t>4.1 总体架构</w:t>
      </w:r>
      <w:r>
        <w:tab/>
      </w:r>
      <w:r>
        <w:fldChar w:fldCharType="begin"/>
      </w:r>
      <w:r>
        <w:instrText xml:space="preserve"> PAGEREF _Toc22624 \h </w:instrText>
      </w:r>
      <w:r>
        <w:fldChar w:fldCharType="separate"/>
      </w:r>
      <w:r>
        <w:t>13</w:t>
      </w:r>
      <w:r>
        <w:fldChar w:fldCharType="end"/>
      </w:r>
      <w:r>
        <w:fldChar w:fldCharType="end"/>
      </w:r>
    </w:p>
    <w:p w14:paraId="0DB52A5A">
      <w:pPr>
        <w:pStyle w:val="30"/>
        <w:tabs>
          <w:tab w:val="right" w:leader="dot" w:pos="9072"/>
        </w:tabs>
      </w:pPr>
      <w:r>
        <w:fldChar w:fldCharType="begin"/>
      </w:r>
      <w:r>
        <w:instrText xml:space="preserve"> HYPERLINK \l _Toc3435 </w:instrText>
      </w:r>
      <w:r>
        <w:fldChar w:fldCharType="separate"/>
      </w:r>
      <w:r>
        <w:t>4.2 数据模型与发布快照</w:t>
      </w:r>
      <w:r>
        <w:tab/>
      </w:r>
      <w:r>
        <w:fldChar w:fldCharType="begin"/>
      </w:r>
      <w:r>
        <w:instrText xml:space="preserve"> PAGEREF _Toc3435 \h </w:instrText>
      </w:r>
      <w:r>
        <w:fldChar w:fldCharType="separate"/>
      </w:r>
      <w:r>
        <w:t>14</w:t>
      </w:r>
      <w:r>
        <w:fldChar w:fldCharType="end"/>
      </w:r>
      <w:r>
        <w:fldChar w:fldCharType="end"/>
      </w:r>
    </w:p>
    <w:p w14:paraId="13F25E0C">
      <w:pPr>
        <w:pStyle w:val="24"/>
        <w:tabs>
          <w:tab w:val="right" w:leader="dot" w:pos="9072"/>
        </w:tabs>
      </w:pPr>
      <w:r>
        <w:fldChar w:fldCharType="begin"/>
      </w:r>
      <w:r>
        <w:instrText xml:space="preserve"> HYPERLINK \l _Toc32628 </w:instrText>
      </w:r>
      <w:r>
        <w:fldChar w:fldCharType="separate"/>
      </w:r>
      <w:r>
        <w:t>4.2.1 主要业务实体</w:t>
      </w:r>
      <w:r>
        <w:tab/>
      </w:r>
      <w:r>
        <w:fldChar w:fldCharType="begin"/>
      </w:r>
      <w:r>
        <w:instrText xml:space="preserve"> PAGEREF _Toc32628 \h </w:instrText>
      </w:r>
      <w:r>
        <w:fldChar w:fldCharType="separate"/>
      </w:r>
      <w:r>
        <w:t>14</w:t>
      </w:r>
      <w:r>
        <w:fldChar w:fldCharType="end"/>
      </w:r>
      <w:r>
        <w:fldChar w:fldCharType="end"/>
      </w:r>
    </w:p>
    <w:p w14:paraId="165AC634">
      <w:pPr>
        <w:pStyle w:val="24"/>
        <w:tabs>
          <w:tab w:val="right" w:leader="dot" w:pos="9072"/>
        </w:tabs>
      </w:pPr>
      <w:r>
        <w:fldChar w:fldCharType="begin"/>
      </w:r>
      <w:r>
        <w:instrText xml:space="preserve"> HYPERLINK \l _Toc28365 </w:instrText>
      </w:r>
      <w:r>
        <w:fldChar w:fldCharType="separate"/>
      </w:r>
      <w:r>
        <w:t>4.2.2 快照与历史解释</w:t>
      </w:r>
      <w:r>
        <w:tab/>
      </w:r>
      <w:r>
        <w:fldChar w:fldCharType="begin"/>
      </w:r>
      <w:r>
        <w:instrText xml:space="preserve"> PAGEREF _Toc28365 \h </w:instrText>
      </w:r>
      <w:r>
        <w:fldChar w:fldCharType="separate"/>
      </w:r>
      <w:r>
        <w:t>15</w:t>
      </w:r>
      <w:r>
        <w:fldChar w:fldCharType="end"/>
      </w:r>
      <w:r>
        <w:fldChar w:fldCharType="end"/>
      </w:r>
    </w:p>
    <w:p w14:paraId="0E6AED22">
      <w:pPr>
        <w:pStyle w:val="24"/>
        <w:tabs>
          <w:tab w:val="right" w:leader="dot" w:pos="9072"/>
        </w:tabs>
      </w:pPr>
      <w:r>
        <w:fldChar w:fldCharType="begin"/>
      </w:r>
      <w:r>
        <w:instrText xml:space="preserve"> HYPERLINK \l _Toc9623 </w:instrText>
      </w:r>
      <w:r>
        <w:fldChar w:fldCharType="separate"/>
      </w:r>
      <w:r>
        <w:t>4.2.3 唯一性与删除约束</w:t>
      </w:r>
      <w:r>
        <w:tab/>
      </w:r>
      <w:r>
        <w:fldChar w:fldCharType="begin"/>
      </w:r>
      <w:r>
        <w:instrText xml:space="preserve"> PAGEREF _Toc9623 \h </w:instrText>
      </w:r>
      <w:r>
        <w:fldChar w:fldCharType="separate"/>
      </w:r>
      <w:r>
        <w:t>16</w:t>
      </w:r>
      <w:r>
        <w:fldChar w:fldCharType="end"/>
      </w:r>
      <w:r>
        <w:fldChar w:fldCharType="end"/>
      </w:r>
    </w:p>
    <w:p w14:paraId="7357675A">
      <w:pPr>
        <w:pStyle w:val="30"/>
        <w:tabs>
          <w:tab w:val="right" w:leader="dot" w:pos="9072"/>
        </w:tabs>
      </w:pPr>
      <w:r>
        <w:fldChar w:fldCharType="begin"/>
      </w:r>
      <w:r>
        <w:instrText xml:space="preserve"> HYPERLINK \l _Toc13097 </w:instrText>
      </w:r>
      <w:r>
        <w:fldChar w:fldCharType="separate"/>
      </w:r>
      <w:r>
        <w:t>4.3 学习消息处理流程</w:t>
      </w:r>
      <w:r>
        <w:tab/>
      </w:r>
      <w:r>
        <w:fldChar w:fldCharType="begin"/>
      </w:r>
      <w:r>
        <w:instrText xml:space="preserve"> PAGEREF _Toc13097 \h </w:instrText>
      </w:r>
      <w:r>
        <w:fldChar w:fldCharType="separate"/>
      </w:r>
      <w:r>
        <w:t>16</w:t>
      </w:r>
      <w:r>
        <w:fldChar w:fldCharType="end"/>
      </w:r>
      <w:r>
        <w:fldChar w:fldCharType="end"/>
      </w:r>
    </w:p>
    <w:p w14:paraId="0B7E8D48">
      <w:pPr>
        <w:pStyle w:val="30"/>
        <w:tabs>
          <w:tab w:val="right" w:leader="dot" w:pos="9072"/>
        </w:tabs>
      </w:pPr>
      <w:r>
        <w:fldChar w:fldCharType="begin"/>
      </w:r>
      <w:r>
        <w:instrText xml:space="preserve"> HYPERLINK \l _Toc29523 </w:instrText>
      </w:r>
      <w:r>
        <w:fldChar w:fldCharType="separate"/>
      </w:r>
      <w:r>
        <w:t>4.4 抽验与考试状态设计</w:t>
      </w:r>
      <w:r>
        <w:tab/>
      </w:r>
      <w:r>
        <w:fldChar w:fldCharType="begin"/>
      </w:r>
      <w:r>
        <w:instrText xml:space="preserve"> PAGEREF _Toc29523 \h </w:instrText>
      </w:r>
      <w:r>
        <w:fldChar w:fldCharType="separate"/>
      </w:r>
      <w:r>
        <w:t>17</w:t>
      </w:r>
      <w:r>
        <w:fldChar w:fldCharType="end"/>
      </w:r>
      <w:r>
        <w:fldChar w:fldCharType="end"/>
      </w:r>
    </w:p>
    <w:p w14:paraId="076C5B9D">
      <w:pPr>
        <w:pStyle w:val="30"/>
        <w:tabs>
          <w:tab w:val="right" w:leader="dot" w:pos="9072"/>
        </w:tabs>
      </w:pPr>
      <w:r>
        <w:fldChar w:fldCharType="begin"/>
      </w:r>
      <w:r>
        <w:instrText xml:space="preserve"> HYPERLINK \l _Toc15395 </w:instrText>
      </w:r>
      <w:r>
        <w:fldChar w:fldCharType="separate"/>
      </w:r>
      <w:r>
        <w:t>4.5 安全与只读查询设计</w:t>
      </w:r>
      <w:r>
        <w:tab/>
      </w:r>
      <w:r>
        <w:fldChar w:fldCharType="begin"/>
      </w:r>
      <w:r>
        <w:instrText xml:space="preserve"> PAGEREF _Toc15395 \h </w:instrText>
      </w:r>
      <w:r>
        <w:fldChar w:fldCharType="separate"/>
      </w:r>
      <w:r>
        <w:t>18</w:t>
      </w:r>
      <w:r>
        <w:fldChar w:fldCharType="end"/>
      </w:r>
      <w:r>
        <w:fldChar w:fldCharType="end"/>
      </w:r>
    </w:p>
    <w:p w14:paraId="15EBB9A8">
      <w:pPr>
        <w:pStyle w:val="27"/>
        <w:tabs>
          <w:tab w:val="right" w:leader="dot" w:pos="9072"/>
        </w:tabs>
      </w:pPr>
      <w:r>
        <w:fldChar w:fldCharType="begin"/>
      </w:r>
      <w:r>
        <w:instrText xml:space="preserve"> HYPERLINK \l _Toc14838 </w:instrText>
      </w:r>
      <w:r>
        <w:fldChar w:fldCharType="separate"/>
      </w:r>
      <w:r>
        <w:t>5 系统实现</w:t>
      </w:r>
      <w:r>
        <w:tab/>
      </w:r>
      <w:r>
        <w:fldChar w:fldCharType="begin"/>
      </w:r>
      <w:r>
        <w:instrText xml:space="preserve"> PAGEREF _Toc14838 \h </w:instrText>
      </w:r>
      <w:r>
        <w:fldChar w:fldCharType="separate"/>
      </w:r>
      <w:r>
        <w:t>19</w:t>
      </w:r>
      <w:r>
        <w:fldChar w:fldCharType="end"/>
      </w:r>
      <w:r>
        <w:fldChar w:fldCharType="end"/>
      </w:r>
    </w:p>
    <w:p w14:paraId="09F09E92">
      <w:pPr>
        <w:pStyle w:val="30"/>
        <w:tabs>
          <w:tab w:val="right" w:leader="dot" w:pos="9072"/>
        </w:tabs>
      </w:pPr>
      <w:r>
        <w:fldChar w:fldCharType="begin"/>
      </w:r>
      <w:r>
        <w:instrText xml:space="preserve"> HYPERLINK \l _Toc6950 </w:instrText>
      </w:r>
      <w:r>
        <w:fldChar w:fldCharType="separate"/>
      </w:r>
      <w:r>
        <w:t>5.1 工程组织与基础管理实现</w:t>
      </w:r>
      <w:r>
        <w:tab/>
      </w:r>
      <w:r>
        <w:fldChar w:fldCharType="begin"/>
      </w:r>
      <w:r>
        <w:instrText xml:space="preserve"> PAGEREF _Toc6950 \h </w:instrText>
      </w:r>
      <w:r>
        <w:fldChar w:fldCharType="separate"/>
      </w:r>
      <w:r>
        <w:t>19</w:t>
      </w:r>
      <w:r>
        <w:fldChar w:fldCharType="end"/>
      </w:r>
      <w:r>
        <w:fldChar w:fldCharType="end"/>
      </w:r>
    </w:p>
    <w:p w14:paraId="6802214F">
      <w:pPr>
        <w:pStyle w:val="30"/>
        <w:tabs>
          <w:tab w:val="right" w:leader="dot" w:pos="9072"/>
        </w:tabs>
      </w:pPr>
      <w:r>
        <w:fldChar w:fldCharType="begin"/>
      </w:r>
      <w:r>
        <w:instrText xml:space="preserve"> HYPERLINK \l _Toc32074 </w:instrText>
      </w:r>
      <w:r>
        <w:fldChar w:fldCharType="separate"/>
      </w:r>
      <w:r>
        <w:t>5.2 课程资源与计划实现</w:t>
      </w:r>
      <w:r>
        <w:tab/>
      </w:r>
      <w:r>
        <w:fldChar w:fldCharType="begin"/>
      </w:r>
      <w:r>
        <w:instrText xml:space="preserve"> PAGEREF _Toc32074 \h </w:instrText>
      </w:r>
      <w:r>
        <w:fldChar w:fldCharType="separate"/>
      </w:r>
      <w:r>
        <w:t>19</w:t>
      </w:r>
      <w:r>
        <w:fldChar w:fldCharType="end"/>
      </w:r>
      <w:r>
        <w:fldChar w:fldCharType="end"/>
      </w:r>
    </w:p>
    <w:p w14:paraId="3EFFF0C0">
      <w:pPr>
        <w:pStyle w:val="30"/>
        <w:tabs>
          <w:tab w:val="right" w:leader="dot" w:pos="9072"/>
        </w:tabs>
      </w:pPr>
      <w:r>
        <w:fldChar w:fldCharType="begin"/>
      </w:r>
      <w:r>
        <w:instrText xml:space="preserve"> HYPERLINK \l _Toc17588 </w:instrText>
      </w:r>
      <w:r>
        <w:fldChar w:fldCharType="separate"/>
      </w:r>
      <w:r>
        <w:t>5.3 有效学时与补学实现</w:t>
      </w:r>
      <w:r>
        <w:tab/>
      </w:r>
      <w:r>
        <w:fldChar w:fldCharType="begin"/>
      </w:r>
      <w:r>
        <w:instrText xml:space="preserve"> PAGEREF _Toc17588 \h </w:instrText>
      </w:r>
      <w:r>
        <w:fldChar w:fldCharType="separate"/>
      </w:r>
      <w:r>
        <w:t>20</w:t>
      </w:r>
      <w:r>
        <w:fldChar w:fldCharType="end"/>
      </w:r>
      <w:r>
        <w:fldChar w:fldCharType="end"/>
      </w:r>
    </w:p>
    <w:p w14:paraId="679F2F75">
      <w:pPr>
        <w:pStyle w:val="30"/>
        <w:tabs>
          <w:tab w:val="right" w:leader="dot" w:pos="9072"/>
        </w:tabs>
      </w:pPr>
      <w:r>
        <w:fldChar w:fldCharType="begin"/>
      </w:r>
      <w:r>
        <w:instrText xml:space="preserve"> HYPERLINK \l _Toc26659 </w:instrText>
      </w:r>
      <w:r>
        <w:fldChar w:fldCharType="separate"/>
      </w:r>
      <w:r>
        <w:t>5.4 幂等与异步结果实现</w:t>
      </w:r>
      <w:r>
        <w:tab/>
      </w:r>
      <w:r>
        <w:fldChar w:fldCharType="begin"/>
      </w:r>
      <w:r>
        <w:instrText xml:space="preserve"> PAGEREF _Toc26659 \h </w:instrText>
      </w:r>
      <w:r>
        <w:fldChar w:fldCharType="separate"/>
      </w:r>
      <w:r>
        <w:t>20</w:t>
      </w:r>
      <w:r>
        <w:fldChar w:fldCharType="end"/>
      </w:r>
      <w:r>
        <w:fldChar w:fldCharType="end"/>
      </w:r>
    </w:p>
    <w:p w14:paraId="0E512843">
      <w:pPr>
        <w:pStyle w:val="30"/>
        <w:tabs>
          <w:tab w:val="right" w:leader="dot" w:pos="9072"/>
        </w:tabs>
      </w:pPr>
      <w:r>
        <w:fldChar w:fldCharType="begin"/>
      </w:r>
      <w:r>
        <w:instrText xml:space="preserve"> HYPERLINK \l _Toc1861 </w:instrText>
      </w:r>
      <w:r>
        <w:fldChar w:fldCharType="separate"/>
      </w:r>
      <w:r>
        <w:t>5.5 抽验与考试实现</w:t>
      </w:r>
      <w:r>
        <w:tab/>
      </w:r>
      <w:r>
        <w:fldChar w:fldCharType="begin"/>
      </w:r>
      <w:r>
        <w:instrText xml:space="preserve"> PAGEREF _Toc1861 \h </w:instrText>
      </w:r>
      <w:r>
        <w:fldChar w:fldCharType="separate"/>
      </w:r>
      <w:r>
        <w:t>21</w:t>
      </w:r>
      <w:r>
        <w:fldChar w:fldCharType="end"/>
      </w:r>
      <w:r>
        <w:fldChar w:fldCharType="end"/>
      </w:r>
    </w:p>
    <w:p w14:paraId="5681C0FB">
      <w:pPr>
        <w:pStyle w:val="30"/>
        <w:tabs>
          <w:tab w:val="right" w:leader="dot" w:pos="9072"/>
        </w:tabs>
      </w:pPr>
      <w:r>
        <w:fldChar w:fldCharType="begin"/>
      </w:r>
      <w:r>
        <w:instrText xml:space="preserve"> HYPERLINK \l _Toc27199 </w:instrText>
      </w:r>
      <w:r>
        <w:fldChar w:fldCharType="separate"/>
      </w:r>
      <w:r>
        <w:t>5.6 档案聚合与界面交互实现</w:t>
      </w:r>
      <w:r>
        <w:tab/>
      </w:r>
      <w:r>
        <w:fldChar w:fldCharType="begin"/>
      </w:r>
      <w:r>
        <w:instrText xml:space="preserve"> PAGEREF _Toc27199 \h </w:instrText>
      </w:r>
      <w:r>
        <w:fldChar w:fldCharType="separate"/>
      </w:r>
      <w:r>
        <w:t>22</w:t>
      </w:r>
      <w:r>
        <w:fldChar w:fldCharType="end"/>
      </w:r>
      <w:r>
        <w:fldChar w:fldCharType="end"/>
      </w:r>
    </w:p>
    <w:p w14:paraId="52BB92B6">
      <w:pPr>
        <w:pStyle w:val="27"/>
        <w:tabs>
          <w:tab w:val="right" w:leader="dot" w:pos="9072"/>
        </w:tabs>
      </w:pPr>
      <w:r>
        <w:fldChar w:fldCharType="begin"/>
      </w:r>
      <w:r>
        <w:instrText xml:space="preserve"> HYPERLINK \l _Toc10782 </w:instrText>
      </w:r>
      <w:r>
        <w:fldChar w:fldCharType="separate"/>
      </w:r>
      <w:r>
        <w:t>6 测试与结果分析</w:t>
      </w:r>
      <w:r>
        <w:tab/>
      </w:r>
      <w:r>
        <w:fldChar w:fldCharType="begin"/>
      </w:r>
      <w:r>
        <w:instrText xml:space="preserve"> PAGEREF _Toc10782 \h </w:instrText>
      </w:r>
      <w:r>
        <w:fldChar w:fldCharType="separate"/>
      </w:r>
      <w:r>
        <w:t>23</w:t>
      </w:r>
      <w:r>
        <w:fldChar w:fldCharType="end"/>
      </w:r>
      <w:r>
        <w:fldChar w:fldCharType="end"/>
      </w:r>
    </w:p>
    <w:p w14:paraId="0055B0DD">
      <w:pPr>
        <w:pStyle w:val="30"/>
        <w:tabs>
          <w:tab w:val="right" w:leader="dot" w:pos="9072"/>
        </w:tabs>
      </w:pPr>
      <w:r>
        <w:fldChar w:fldCharType="begin"/>
      </w:r>
      <w:r>
        <w:instrText xml:space="preserve"> HYPERLINK \l _Toc29264 </w:instrText>
      </w:r>
      <w:r>
        <w:fldChar w:fldCharType="separate"/>
      </w:r>
      <w:r>
        <w:t>6.1 验证设计与数据来源</w:t>
      </w:r>
      <w:r>
        <w:tab/>
      </w:r>
      <w:r>
        <w:fldChar w:fldCharType="begin"/>
      </w:r>
      <w:r>
        <w:instrText xml:space="preserve"> PAGEREF _Toc29264 \h </w:instrText>
      </w:r>
      <w:r>
        <w:fldChar w:fldCharType="separate"/>
      </w:r>
      <w:r>
        <w:t>23</w:t>
      </w:r>
      <w:r>
        <w:fldChar w:fldCharType="end"/>
      </w:r>
      <w:r>
        <w:fldChar w:fldCharType="end"/>
      </w:r>
    </w:p>
    <w:p w14:paraId="65002F90">
      <w:pPr>
        <w:pStyle w:val="30"/>
        <w:tabs>
          <w:tab w:val="right" w:leader="dot" w:pos="9072"/>
        </w:tabs>
      </w:pPr>
      <w:r>
        <w:fldChar w:fldCharType="begin"/>
      </w:r>
      <w:r>
        <w:instrText xml:space="preserve"> HYPERLINK \l _Toc31674 </w:instrText>
      </w:r>
      <w:r>
        <w:fldChar w:fldCharType="separate"/>
      </w:r>
      <w:r>
        <w:t>6.2 自动化测试结果</w:t>
      </w:r>
      <w:r>
        <w:tab/>
      </w:r>
      <w:r>
        <w:fldChar w:fldCharType="begin"/>
      </w:r>
      <w:r>
        <w:instrText xml:space="preserve"> PAGEREF _Toc31674 \h </w:instrText>
      </w:r>
      <w:r>
        <w:fldChar w:fldCharType="separate"/>
      </w:r>
      <w:r>
        <w:t>23</w:t>
      </w:r>
      <w:r>
        <w:fldChar w:fldCharType="end"/>
      </w:r>
      <w:r>
        <w:fldChar w:fldCharType="end"/>
      </w:r>
    </w:p>
    <w:p w14:paraId="7D05073F">
      <w:pPr>
        <w:pStyle w:val="30"/>
        <w:tabs>
          <w:tab w:val="right" w:leader="dot" w:pos="9072"/>
        </w:tabs>
      </w:pPr>
      <w:r>
        <w:fldChar w:fldCharType="begin"/>
      </w:r>
      <w:r>
        <w:instrText xml:space="preserve"> HYPERLINK \l _Toc3368 </w:instrText>
      </w:r>
      <w:r>
        <w:fldChar w:fldCharType="separate"/>
      </w:r>
      <w:r>
        <w:t>6.3 核心业务用例分析</w:t>
      </w:r>
      <w:r>
        <w:tab/>
      </w:r>
      <w:r>
        <w:fldChar w:fldCharType="begin"/>
      </w:r>
      <w:r>
        <w:instrText xml:space="preserve"> PAGEREF _Toc3368 \h </w:instrText>
      </w:r>
      <w:r>
        <w:fldChar w:fldCharType="separate"/>
      </w:r>
      <w:r>
        <w:t>24</w:t>
      </w:r>
      <w:r>
        <w:fldChar w:fldCharType="end"/>
      </w:r>
      <w:r>
        <w:fldChar w:fldCharType="end"/>
      </w:r>
    </w:p>
    <w:p w14:paraId="5FF5DD35">
      <w:pPr>
        <w:pStyle w:val="30"/>
        <w:tabs>
          <w:tab w:val="right" w:leader="dot" w:pos="9072"/>
        </w:tabs>
      </w:pPr>
      <w:r>
        <w:fldChar w:fldCharType="begin"/>
      </w:r>
      <w:r>
        <w:instrText xml:space="preserve"> HYPERLINK \l _Toc5321 </w:instrText>
      </w:r>
      <w:r>
        <w:fldChar w:fldCharType="separate"/>
      </w:r>
      <w:r>
        <w:t>6.4 合成计时实验与结果解释</w:t>
      </w:r>
      <w:r>
        <w:tab/>
      </w:r>
      <w:r>
        <w:fldChar w:fldCharType="begin"/>
      </w:r>
      <w:r>
        <w:instrText xml:space="preserve"> PAGEREF _Toc5321 \h </w:instrText>
      </w:r>
      <w:r>
        <w:fldChar w:fldCharType="separate"/>
      </w:r>
      <w:r>
        <w:t>25</w:t>
      </w:r>
      <w:r>
        <w:fldChar w:fldCharType="end"/>
      </w:r>
      <w:r>
        <w:fldChar w:fldCharType="end"/>
      </w:r>
    </w:p>
    <w:p w14:paraId="6DCFF7A7">
      <w:pPr>
        <w:pStyle w:val="30"/>
        <w:tabs>
          <w:tab w:val="right" w:leader="dot" w:pos="9072"/>
        </w:tabs>
      </w:pPr>
      <w:r>
        <w:fldChar w:fldCharType="begin"/>
      </w:r>
      <w:r>
        <w:instrText xml:space="preserve"> HYPERLINK \l _Toc15192 </w:instrText>
      </w:r>
      <w:r>
        <w:fldChar w:fldCharType="separate"/>
      </w:r>
      <w:r>
        <w:t>6.5 集成问题与修复验证</w:t>
      </w:r>
      <w:r>
        <w:tab/>
      </w:r>
      <w:r>
        <w:fldChar w:fldCharType="begin"/>
      </w:r>
      <w:r>
        <w:instrText xml:space="preserve"> PAGEREF _Toc15192 \h </w:instrText>
      </w:r>
      <w:r>
        <w:fldChar w:fldCharType="separate"/>
      </w:r>
      <w:r>
        <w:t>26</w:t>
      </w:r>
      <w:r>
        <w:fldChar w:fldCharType="end"/>
      </w:r>
      <w:r>
        <w:fldChar w:fldCharType="end"/>
      </w:r>
    </w:p>
    <w:p w14:paraId="75803BC6">
      <w:pPr>
        <w:pStyle w:val="30"/>
        <w:tabs>
          <w:tab w:val="right" w:leader="dot" w:pos="9072"/>
        </w:tabs>
      </w:pPr>
      <w:r>
        <w:fldChar w:fldCharType="begin"/>
      </w:r>
      <w:r>
        <w:instrText xml:space="preserve"> HYPERLINK \l _Toc31690 </w:instrText>
      </w:r>
      <w:r>
        <w:fldChar w:fldCharType="separate"/>
      </w:r>
      <w:r>
        <w:t>6.6 性能指标与尚未完成的实验</w:t>
      </w:r>
      <w:r>
        <w:tab/>
      </w:r>
      <w:r>
        <w:fldChar w:fldCharType="begin"/>
      </w:r>
      <w:r>
        <w:instrText xml:space="preserve"> PAGEREF _Toc31690 \h </w:instrText>
      </w:r>
      <w:r>
        <w:fldChar w:fldCharType="separate"/>
      </w:r>
      <w:r>
        <w:t>26</w:t>
      </w:r>
      <w:r>
        <w:fldChar w:fldCharType="end"/>
      </w:r>
      <w:r>
        <w:fldChar w:fldCharType="end"/>
      </w:r>
    </w:p>
    <w:p w14:paraId="740F9628">
      <w:pPr>
        <w:pStyle w:val="27"/>
        <w:tabs>
          <w:tab w:val="right" w:leader="dot" w:pos="9072"/>
        </w:tabs>
      </w:pPr>
      <w:r>
        <w:fldChar w:fldCharType="begin"/>
      </w:r>
      <w:r>
        <w:instrText xml:space="preserve"> HYPERLINK \l _Toc6342 </w:instrText>
      </w:r>
      <w:r>
        <w:fldChar w:fldCharType="separate"/>
      </w:r>
      <w:r>
        <w:t>7 总结与展望</w:t>
      </w:r>
      <w:r>
        <w:tab/>
      </w:r>
      <w:r>
        <w:fldChar w:fldCharType="begin"/>
      </w:r>
      <w:r>
        <w:instrText xml:space="preserve"> PAGEREF _Toc6342 \h </w:instrText>
      </w:r>
      <w:r>
        <w:fldChar w:fldCharType="separate"/>
      </w:r>
      <w:r>
        <w:t>29</w:t>
      </w:r>
      <w:r>
        <w:fldChar w:fldCharType="end"/>
      </w:r>
      <w:r>
        <w:fldChar w:fldCharType="end"/>
      </w:r>
    </w:p>
    <w:p w14:paraId="2BA87B22">
      <w:pPr>
        <w:pStyle w:val="30"/>
        <w:tabs>
          <w:tab w:val="right" w:leader="dot" w:pos="9072"/>
        </w:tabs>
      </w:pPr>
      <w:r>
        <w:fldChar w:fldCharType="begin"/>
      </w:r>
      <w:r>
        <w:instrText xml:space="preserve"> HYPERLINK \l _Toc30410 </w:instrText>
      </w:r>
      <w:r>
        <w:fldChar w:fldCharType="separate"/>
      </w:r>
      <w:r>
        <w:t>7.1 研究总结</w:t>
      </w:r>
      <w:r>
        <w:tab/>
      </w:r>
      <w:r>
        <w:fldChar w:fldCharType="begin"/>
      </w:r>
      <w:r>
        <w:instrText xml:space="preserve"> PAGEREF _Toc30410 \h </w:instrText>
      </w:r>
      <w:r>
        <w:fldChar w:fldCharType="separate"/>
      </w:r>
      <w:r>
        <w:t>29</w:t>
      </w:r>
      <w:r>
        <w:fldChar w:fldCharType="end"/>
      </w:r>
      <w:r>
        <w:fldChar w:fldCharType="end"/>
      </w:r>
    </w:p>
    <w:p w14:paraId="7672F888">
      <w:pPr>
        <w:pStyle w:val="30"/>
        <w:tabs>
          <w:tab w:val="right" w:leader="dot" w:pos="9072"/>
        </w:tabs>
      </w:pPr>
      <w:r>
        <w:fldChar w:fldCharType="begin"/>
      </w:r>
      <w:r>
        <w:instrText xml:space="preserve"> HYPERLINK \l _Toc3594 </w:instrText>
      </w:r>
      <w:r>
        <w:fldChar w:fldCharType="separate"/>
      </w:r>
      <w:r>
        <w:t>7.2 局限与后续工作</w:t>
      </w:r>
      <w:r>
        <w:tab/>
      </w:r>
      <w:r>
        <w:fldChar w:fldCharType="begin"/>
      </w:r>
      <w:r>
        <w:instrText xml:space="preserve"> PAGEREF _Toc3594 \h </w:instrText>
      </w:r>
      <w:r>
        <w:fldChar w:fldCharType="separate"/>
      </w:r>
      <w:r>
        <w:t>29</w:t>
      </w:r>
      <w:r>
        <w:fldChar w:fldCharType="end"/>
      </w:r>
      <w:r>
        <w:fldChar w:fldCharType="end"/>
      </w:r>
    </w:p>
    <w:p w14:paraId="415C0671">
      <w:pPr>
        <w:pStyle w:val="27"/>
        <w:tabs>
          <w:tab w:val="right" w:leader="dot" w:pos="9072"/>
        </w:tabs>
      </w:pPr>
      <w:r>
        <w:fldChar w:fldCharType="begin"/>
      </w:r>
      <w:r>
        <w:instrText xml:space="preserve"> HYPERLINK \l _Toc978 </w:instrText>
      </w:r>
      <w:r>
        <w:fldChar w:fldCharType="separate"/>
      </w:r>
      <w:r>
        <w:t>致谢</w:t>
      </w:r>
      <w:r>
        <w:tab/>
      </w:r>
      <w:r>
        <w:fldChar w:fldCharType="begin"/>
      </w:r>
      <w:r>
        <w:instrText xml:space="preserve"> PAGEREF _Toc978 \h </w:instrText>
      </w:r>
      <w:r>
        <w:fldChar w:fldCharType="separate"/>
      </w:r>
      <w:r>
        <w:t>31</w:t>
      </w:r>
      <w:r>
        <w:fldChar w:fldCharType="end"/>
      </w:r>
      <w:r>
        <w:fldChar w:fldCharType="end"/>
      </w:r>
    </w:p>
    <w:p w14:paraId="2D90CF8D">
      <w:pPr>
        <w:pStyle w:val="27"/>
        <w:tabs>
          <w:tab w:val="right" w:leader="dot" w:pos="9072"/>
        </w:tabs>
      </w:pPr>
      <w:r>
        <w:fldChar w:fldCharType="begin"/>
      </w:r>
      <w:r>
        <w:instrText xml:space="preserve"> HYPERLINK \l _Toc16783 </w:instrText>
      </w:r>
      <w:r>
        <w:fldChar w:fldCharType="separate"/>
      </w:r>
      <w:r>
        <w:t>参考文献</w:t>
      </w:r>
      <w:r>
        <w:tab/>
      </w:r>
      <w:r>
        <w:fldChar w:fldCharType="begin"/>
      </w:r>
      <w:r>
        <w:instrText xml:space="preserve"> PAGEREF _Toc16783 \h </w:instrText>
      </w:r>
      <w:r>
        <w:fldChar w:fldCharType="separate"/>
      </w:r>
      <w:r>
        <w:t>32</w:t>
      </w:r>
      <w:r>
        <w:fldChar w:fldCharType="end"/>
      </w:r>
      <w:r>
        <w:fldChar w:fldCharType="end"/>
      </w:r>
    </w:p>
    <w:p w14:paraId="78055F46">
      <w:pPr>
        <w:pStyle w:val="27"/>
        <w:tabs>
          <w:tab w:val="right" w:leader="dot" w:pos="9072"/>
        </w:tabs>
      </w:pPr>
      <w:r>
        <w:fldChar w:fldCharType="begin"/>
      </w:r>
      <w:r>
        <w:instrText xml:space="preserve"> HYPERLINK \l _Toc30215 </w:instrText>
      </w:r>
      <w:r>
        <w:fldChar w:fldCharType="separate"/>
      </w:r>
      <w:r>
        <w:t>附录A 项目证据与复现入口</w:t>
      </w:r>
      <w:r>
        <w:tab/>
      </w:r>
      <w:r>
        <w:fldChar w:fldCharType="begin"/>
      </w:r>
      <w:r>
        <w:instrText xml:space="preserve"> PAGEREF _Toc30215 \h </w:instrText>
      </w:r>
      <w:r>
        <w:fldChar w:fldCharType="separate"/>
      </w:r>
      <w:r>
        <w:t>34</w:t>
      </w:r>
      <w:r>
        <w:fldChar w:fldCharType="end"/>
      </w:r>
      <w:r>
        <w:fldChar w:fldCharType="end"/>
      </w:r>
    </w:p>
    <w:p w14:paraId="19CC094E">
      <w:pPr>
        <w:pStyle w:val="30"/>
        <w:tabs>
          <w:tab w:val="right" w:leader="dot" w:pos="9072"/>
        </w:tabs>
      </w:pPr>
      <w:r>
        <w:fldChar w:fldCharType="begin"/>
      </w:r>
      <w:r>
        <w:instrText xml:space="preserve"> HYPERLINK \l _Toc28356 </w:instrText>
      </w:r>
      <w:r>
        <w:fldChar w:fldCharType="separate"/>
      </w:r>
      <w:r>
        <w:t>A.1 业务与实现</w:t>
      </w:r>
      <w:r>
        <w:tab/>
      </w:r>
      <w:r>
        <w:fldChar w:fldCharType="begin"/>
      </w:r>
      <w:r>
        <w:instrText xml:space="preserve"> PAGEREF _Toc28356 \h </w:instrText>
      </w:r>
      <w:r>
        <w:fldChar w:fldCharType="separate"/>
      </w:r>
      <w:r>
        <w:t>34</w:t>
      </w:r>
      <w:r>
        <w:fldChar w:fldCharType="end"/>
      </w:r>
      <w:r>
        <w:fldChar w:fldCharType="end"/>
      </w:r>
    </w:p>
    <w:p w14:paraId="474C5812">
      <w:pPr>
        <w:pStyle w:val="30"/>
        <w:tabs>
          <w:tab w:val="right" w:leader="dot" w:pos="9072"/>
        </w:tabs>
      </w:pPr>
      <w:r>
        <w:fldChar w:fldCharType="begin"/>
      </w:r>
      <w:r>
        <w:instrText xml:space="preserve"> HYPERLINK \l _Toc25739 </w:instrText>
      </w:r>
      <w:r>
        <w:fldChar w:fldCharType="separate"/>
      </w:r>
      <w:r>
        <w:t>A.2 测试与数据</w:t>
      </w:r>
      <w:r>
        <w:tab/>
      </w:r>
      <w:r>
        <w:fldChar w:fldCharType="begin"/>
      </w:r>
      <w:r>
        <w:instrText xml:space="preserve"> PAGEREF _Toc25739 \h </w:instrText>
      </w:r>
      <w:r>
        <w:fldChar w:fldCharType="separate"/>
      </w:r>
      <w:r>
        <w:t>34</w:t>
      </w:r>
      <w:r>
        <w:fldChar w:fldCharType="end"/>
      </w:r>
      <w:r>
        <w:fldChar w:fldCharType="end"/>
      </w:r>
    </w:p>
    <w:p w14:paraId="6C360455">
      <w:pPr>
        <w:pStyle w:val="30"/>
        <w:tabs>
          <w:tab w:val="right" w:leader="dot" w:pos="9072"/>
        </w:tabs>
      </w:pPr>
      <w:r>
        <w:fldChar w:fldCharType="begin"/>
      </w:r>
      <w:r>
        <w:instrText xml:space="preserve"> HYPERLINK \l _Toc15340 </w:instrText>
      </w:r>
      <w:r>
        <w:fldChar w:fldCharType="separate"/>
      </w:r>
      <w:r>
        <w:t>A.3 待开展实验</w:t>
      </w:r>
      <w:r>
        <w:tab/>
      </w:r>
      <w:r>
        <w:fldChar w:fldCharType="begin"/>
      </w:r>
      <w:r>
        <w:instrText xml:space="preserve"> PAGEREF _Toc15340 \h </w:instrText>
      </w:r>
      <w:r>
        <w:fldChar w:fldCharType="separate"/>
      </w:r>
      <w:r>
        <w:t>34</w:t>
      </w:r>
      <w:r>
        <w:fldChar w:fldCharType="end"/>
      </w:r>
      <w:r>
        <w:fldChar w:fldCharType="end"/>
      </w:r>
    </w:p>
    <w:p w14:paraId="2E8E98B3">
      <w:pPr>
        <w:pStyle w:val="27"/>
        <w:tabs>
          <w:tab w:val="right" w:leader="dot" w:pos="9072"/>
        </w:tabs>
      </w:pPr>
      <w:r>
        <w:fldChar w:fldCharType="begin"/>
      </w:r>
      <w:r>
        <w:instrText xml:space="preserve"> HYPERLINK \l _Toc16796 </w:instrText>
      </w:r>
      <w:r>
        <w:fldChar w:fldCharType="separate"/>
      </w:r>
      <w:r>
        <w:t>附录B 初稿排版约定与待补信息</w:t>
      </w:r>
      <w:r>
        <w:tab/>
      </w:r>
      <w:r>
        <w:fldChar w:fldCharType="begin"/>
      </w:r>
      <w:r>
        <w:instrText xml:space="preserve"> PAGEREF _Toc16796 \h </w:instrText>
      </w:r>
      <w:r>
        <w:fldChar w:fldCharType="separate"/>
      </w:r>
      <w:r>
        <w:t>35</w:t>
      </w:r>
      <w:r>
        <w:fldChar w:fldCharType="end"/>
      </w:r>
      <w:r>
        <w:fldChar w:fldCharType="end"/>
      </w:r>
    </w:p>
    <w:p w14:paraId="5DA1F069">
      <w:pPr>
        <w:ind w:firstLine="0"/>
      </w:pPr>
      <w:r>
        <w:fldChar w:fldCharType="end"/>
      </w:r>
    </w:p>
    <w:p w14:paraId="254EA3D1">
      <w:pPr>
        <w:sectPr>
          <w:headerReference r:id="rId5" w:type="default"/>
          <w:footerReference r:id="rId6" w:type="default"/>
          <w:pgSz w:w="11906" w:h="16838"/>
          <w:pgMar w:top="1417" w:right="1417" w:bottom="1417" w:left="1417" w:header="680" w:footer="680" w:gutter="0"/>
          <w:cols w:space="720" w:num="1"/>
          <w:docGrid w:linePitch="360" w:charSpace="0"/>
        </w:sectPr>
      </w:pPr>
    </w:p>
    <w:p w14:paraId="363D327F">
      <w:pPr>
        <w:pStyle w:val="3"/>
        <w:spacing w:after="360"/>
      </w:pPr>
      <w:bookmarkStart w:id="0" w:name="_Toc27643"/>
      <w:r>
        <w:t>摘要</w:t>
      </w:r>
      <w:bookmarkEnd w:id="0"/>
    </w:p>
    <w:p w14:paraId="077D30AC">
      <w:pPr>
        <w:jc w:val="both"/>
      </w:pPr>
      <w:r>
        <w:t>道路运输企业在线培训需要记录学员参加的课程、有效学时、身份抽验和考核结果，浏览器播放进度与课程完成标记难以单独说明培训过程。针对重复上报、网络中断、跨服务状态同步和历史档案查询等问题，本研究以企业培训平台为对象，采用业务建模、方案比较、源码核查和分层测试方法，设计并实现基于Dubbo的在线培训系统。系统以发布快照固定课程规则，通过服务端时间与媒体位置共同约束有效学时，利用本地事务和Outbox传递学习结果，并以独立抽验任务保留零提交超时记录。已有验收记录显示，后端210项测试中208项通过、2项因真实依赖条件跳过，11项数据库集成测试全部通过；合成抖动输入使100秒媒体计入95秒，验证了课件结束后继续补学的必要性。系统形成了从培训任务到会话、事件及成绩的查询链路，支持企业范围内的数据隔离和历史只读访问。研究结果为企业培训过程留痕提供了实现方案，真实媒体闭环、真人核验效果及生产并发能力仍需进一步验证。</w:t>
      </w:r>
    </w:p>
    <w:p w14:paraId="3F21F295">
      <w:pPr>
        <w:spacing w:before="240"/>
        <w:ind w:firstLine="0"/>
      </w:pPr>
      <w:r>
        <w:rPr>
          <w:b/>
        </w:rPr>
        <w:t>关键词：</w:t>
      </w:r>
      <w:r>
        <w:t>道路运输培训；微服务；有效学时；最终一致性；培训档案</w:t>
      </w:r>
    </w:p>
    <w:p w14:paraId="04D340F2">
      <w:r>
        <w:br w:type="page"/>
      </w:r>
    </w:p>
    <w:p w14:paraId="24121850">
      <w:pPr>
        <w:pStyle w:val="3"/>
        <w:spacing w:after="360"/>
      </w:pPr>
      <w:bookmarkStart w:id="1" w:name="_Toc14631"/>
      <w:r>
        <w:t>Abstract</w:t>
      </w:r>
      <w:bookmarkEnd w:id="1"/>
    </w:p>
    <w:p w14:paraId="6B17273F">
      <w:pPr>
        <w:pStyle w:val="168"/>
      </w:pPr>
      <w:r>
        <w:t>Online training in road transport enterprises requires records of assigned courses, credited learning time, identity checks, and assessment results. Browser playback progress and course completion markers alone do not adequately describe the training process. This study examines an enterprise training platform and combines business modelling, design comparison, source code inspection, and layered testing to develop an online training system based on Dubbo. Published snapshots preserve course requirements. Server elapsed time and media position jointly constrain credited learning time, while local transactions and a transactional outbox propagate learning outcomes. Separate identity check tasks preserve timeout records even when no image is submitted. Archived verification reports show that 208 of 210 backend tests passed, with two skipped because real external dependencies were unavailable; all 11 database integration tests passed. A synthetic timing case credited 95 seconds for 100 seconds of media progress under alternating reporting intervals, demonstrating the need for supplementary playback after the media reaches its end. The system connects training tasks with sessions, accepted events, and examination results, supporting enterprise data isolation and read-only historical access. The work provides an implementation for traceable training records. End-to-end media training, real-person verification performance, and production concurrency remain subject to further validation.</w:t>
      </w:r>
    </w:p>
    <w:p w14:paraId="531E9AB2">
      <w:pPr>
        <w:spacing w:before="240"/>
        <w:ind w:firstLine="0"/>
      </w:pPr>
      <w:r>
        <w:rPr>
          <w:b/>
        </w:rPr>
        <w:t xml:space="preserve">Key words: </w:t>
      </w:r>
      <w:r>
        <w:t>road transport training; microservices; credited learning time; eventual consistency; training records</w:t>
      </w:r>
    </w:p>
    <w:p w14:paraId="7306E0B6">
      <w:pPr>
        <w:sectPr>
          <w:headerReference r:id="rId7" w:type="default"/>
          <w:footerReference r:id="rId8" w:type="default"/>
          <w:pgSz w:w="11906" w:h="16838"/>
          <w:pgMar w:top="1417" w:right="1417" w:bottom="1417" w:left="1417" w:header="680" w:footer="680" w:gutter="0"/>
          <w:pgNumType w:fmt="upperRoman" w:start="1"/>
          <w:cols w:space="720" w:num="1"/>
          <w:docGrid w:linePitch="360" w:charSpace="0"/>
        </w:sectPr>
      </w:pPr>
    </w:p>
    <w:p w14:paraId="17F73FD6">
      <w:pPr>
        <w:pStyle w:val="3"/>
        <w:pageBreakBefore w:val="0"/>
      </w:pPr>
      <w:bookmarkStart w:id="2" w:name="_Toc21515"/>
      <w:r>
        <w:t>1 绪论</w:t>
      </w:r>
      <w:bookmarkEnd w:id="2"/>
    </w:p>
    <w:p w14:paraId="19AF7F0C">
      <w:pPr>
        <w:pStyle w:val="4"/>
        <w:pageBreakBefore w:val="0"/>
      </w:pPr>
      <w:bookmarkStart w:id="3" w:name="_Toc1877"/>
      <w:r>
        <w:t>1.1 研究背景与问题提出</w:t>
      </w:r>
      <w:bookmarkEnd w:id="3"/>
    </w:p>
    <w:p w14:paraId="1AB1F76D">
      <w:pPr>
        <w:jc w:val="both"/>
      </w:pPr>
      <w:r>
        <w:t>道路运输企业的安全培训需要适应人员分散、作业时间不固定和培训记录长期留存的业务条件。在线学习能够减少集中授课对地点和时间的依赖，但视频可以打开、课程可以播放，只能说明资源具备访问条件。企业还需要回答某名学员参加了哪次培训、实际完成了多少规定学时、学习过程中是否出现中断、考核结果怎样形成等问题。这些问题最终都落在记录的形成规则及其可追溯性上。</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这些规定为企业培训档案建设提供了背景，但不能直接推出所有驾驶员均适用同一个固定培训周期和学时数。系统因此把课程规定学时和计划有效期设计为业务配置，并在发布时保存具体规则。</w:t>
      </w:r>
    </w:p>
    <w:p w14:paraId="29CEA42A">
      <w:pPr>
        <w:jc w:val="both"/>
      </w:pPr>
      <w:r>
        <w:t>从软件实现看，在线培训存在几类容易被一般课程管理功能掩盖的问题。首先，浏览器上报的播放位置受到拖动、重复请求和网络中断影响，直接累加客户端时间可能形成不可靠的学习记录。其次，学习状态与培训任务分属不同业务模块，学时已经落库而任务状态尚未更新时，需要解释两者的短暂差异。再次，计划到期之后仍应能够查看档案，历史查询不应重新启动学习或考试。最后，多个企业共用平台时，知道记录编号不能成为越权读取其他企业数据的条件。</w:t>
      </w:r>
    </w:p>
    <w:p w14:paraId="2A5E0AFF">
      <w:pPr>
        <w:jc w:val="both"/>
      </w:pPr>
      <w:r>
        <w:t>本研究以道路运输企业在线培训平台为对象，结合项目代码、数据库迁移与阶段验收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7"/>
      <w:r>
        <w:t>1.2 研究目标与意义</w:t>
      </w:r>
      <w:bookmarkEnd w:id="4"/>
    </w:p>
    <w:p w14:paraId="530923E6">
      <w:pPr>
        <w:jc w:val="both"/>
      </w:pPr>
      <w:r>
        <w:t>本研究的首要目标是建立可解释的有效学时记录规则。每次增加学时都应能够关联到已受理的学习事件，并说明采用的服务端时间、播放位置增量及状态条件。学员端展示的进度应以服务端确认值为依据，连接心跳不能直接换算成学习时长。通过这一约束，学时统计具有明确的计算来源，出现争议时可以检查具体会话及其事件。</w:t>
      </w:r>
    </w:p>
    <w:p w14:paraId="46B6B0F8">
      <w:pPr>
        <w:jc w:val="both"/>
      </w:pPr>
      <w:r>
        <w:t>第二个目标是保持培训规则和完成结果的一致含义。课程内容会调整，题库会维护，人员会更换部门，而已经发布的任务需要保留当时的课程规则与考试内容。系统以发布快照固定任务依据，以学习结果事件更新完成状态，并将历史查询从学习操作中分离出来。这样，当前配置的变化不会无声地改写既有培训记录。</w:t>
      </w:r>
    </w:p>
    <w:p w14:paraId="279013EE">
      <w:pPr>
        <w:jc w:val="both"/>
      </w:pPr>
      <w:r>
        <w:t>第三个目标是把权限和异常处理落实到服务端。企业管理员只能管理本企业资源，学员只能访问本人被分配的任务。断线、乱序、抽验超时和重复提交都需要有确定的处理结果，不能依赖页面是否隐藏按钮来保证规则。研究的实践价值主要体现为将分散的培训管理要求转化为可测试的程序约束；其效果限于已核验的实现与实验条件，不推断实际事故率下降或企业管理成本节约。</w:t>
      </w:r>
    </w:p>
    <w:p w14:paraId="6B123717">
      <w:pPr>
        <w:pStyle w:val="4"/>
        <w:pageBreakBefore w:val="0"/>
      </w:pPr>
      <w:bookmarkStart w:id="5" w:name="_Toc17135"/>
      <w:r>
        <w:t>1.3 国内外相关研究进展</w:t>
      </w:r>
      <w:bookmarkEnd w:id="5"/>
    </w:p>
    <w:p w14:paraId="33E20F01">
      <w:pPr>
        <w:jc w:val="both"/>
      </w:pPr>
      <w:r>
        <w:t>在线培训研究同时涉及教学效果、过程记录和系统可靠性。与本项目直接相关的工作可归纳为职业安全培训、学习分析、身份核验和服务协同四个方向。以下八项研究说明了这些方向能够提供的依据，也展示了不能直接迁移到本项目的结论边界。</w:t>
      </w:r>
    </w:p>
    <w:p w14:paraId="42EED13E">
      <w:pPr>
        <w:jc w:val="both"/>
      </w:pPr>
      <w:r>
        <w:t>2022年，Duarte Hernández与Gómez Gómez对385名教师开展在线防跌倒培训的纵向观察，分析学习环境访问、课程通过及事故指标。研究记录到85.5%的课程通过率，但前后年度事故频率与严重程度未出现显著差异。</w:t>
      </w:r>
      <w:r>
        <w:rPr>
          <w:vertAlign w:val="superscript"/>
        </w:rPr>
        <w:t>[3]</w:t>
      </w:r>
      <w:r>
        <w:t>这说明平台中的“通过课程”和工作环境中的“安全结果改善”需要分别评价。该研究对象为教师，且采用观察设计，无法直接推断道路运输驾驶员的培训效果；其启示是先准确保存培训过程，再用独立研究评价岗位结果。</w:t>
      </w:r>
    </w:p>
    <w:p w14:paraId="41B9B372">
      <w:pPr>
        <w:jc w:val="both"/>
      </w:pPr>
      <w:r>
        <w:t>2024年，Pradhan等分析245名长途卡车驾驶员37周的超速记录，通过聚类区分驾驶风险群体，并比较行为反馈条件。高风险群体中接受实时和事后反馈者的超速下降较明显，但无反馈组也出现下降，监督指导方式与驾驶员背景资料亦存在限制。</w:t>
      </w:r>
      <w:r>
        <w:rPr>
          <w:vertAlign w:val="superscript"/>
        </w:rPr>
        <w:t>[4]</w:t>
      </w:r>
      <w:r>
        <w:t>这项研究与道路运输对象接近，强调持续记录和后续反馈的重要性；它使用真实驾驶行为数据，而本项目只记录培训过程，因此不能把其效果移作平台的实测成果。</w:t>
      </w:r>
    </w:p>
    <w:p w14:paraId="32DBA28E">
      <w:pPr>
        <w:jc w:val="both"/>
      </w:pPr>
      <w:r>
        <w:t>2024年，Paulsen与Lindsay对39篇高等教育学习分析仪表板研究进行系统综述，发现仪表板逐渐纳入教育理论、反馈和学习建议，描述性统计仍占重要位置，实际效果验证存在范围限制。</w:t>
      </w:r>
      <w:r>
        <w:rPr>
          <w:vertAlign w:val="superscript"/>
        </w:rPr>
        <w:t>[5]</w:t>
      </w:r>
      <w:r>
        <w:t>对本项目而言，仅展示累计时长不能充分帮助学员理解进度，剩余学时、异常原因和可执行的补学入口应与数据一起呈现。不过，界面提供反馈不必然提高学习成绩，是否有效仍需结合目标群体评估。</w:t>
      </w:r>
    </w:p>
    <w:p w14:paraId="4C107365">
      <w:pPr>
        <w:jc w:val="both"/>
      </w:pPr>
      <w:r>
        <w:t>同年，Pan等综述2012年至2023年的27项学习管理系统实证研究，讨论日志支持的仪表板、提示和推荐等干预。研究指出次数与时长是常见分析对象，文本等数据的应用及长期效果验证仍有不足。</w:t>
      </w:r>
      <w:r>
        <w:rPr>
          <w:vertAlign w:val="superscript"/>
        </w:rPr>
        <w:t>[6]</w:t>
      </w:r>
      <w:r>
        <w:t>其结果提示过程日志具有分析价值，但时间记录只是学习活动的一个侧面。本项目据此分别保存学时、抽验和考试结果，避免把在线时长直接命名为学习效果。</w:t>
      </w:r>
    </w:p>
    <w:p w14:paraId="574CF5DD">
      <w:pPr>
        <w:jc w:val="both"/>
      </w:pPr>
      <w:r>
        <w:t>2022年，Kaddoura等围绕考前、考中与考后三个阶段整理机器学习在在线学习和考试系统中的应用，涉及身份认证、监考、异常识别和评分，同时讨论隐私、安全与公平问题。</w:t>
      </w:r>
      <w:r>
        <w:rPr>
          <w:vertAlign w:val="superscript"/>
        </w:rPr>
        <w:t>[7]</w:t>
      </w:r>
      <w:r>
        <w:t>该研究提供的是方法分类，没有一个可以通用于所有平台的识别准确率。对本项目的启示是将模型判断与考试业务流程分离：相似度输出用于具体核验任务，任务是否超时、能否重试和成绩怎样形成仍由业务规则决定。</w:t>
      </w:r>
    </w:p>
    <w:p w14:paraId="2EFE2C63">
      <w:pPr>
        <w:jc w:val="both"/>
      </w:pPr>
      <w:r>
        <w:t>2025年，Heinrich对33个在线监考系统的公开说明进行系统叙事综述，发现有关数据处理、安全性及人工智能用途的公开信息存在缺口，并讨论身份资料和异常标记的标准化。</w:t>
      </w:r>
      <w:r>
        <w:rPr>
          <w:vertAlign w:val="superscript"/>
        </w:rPr>
        <w:t>[8]</w:t>
      </w:r>
      <w:r>
        <w:t>研究材料主要来自产品公开描述，不能视为对每个系统开展了安全实测。其价值在于指出技术能力必须附带可解释的数据流程。本项目将抽验任务与提交记录分别保存，并限制档案返回字段，正是为了让异常具有明确来源；人工复核与替代验证仍需完善。</w:t>
      </w:r>
    </w:p>
    <w:p w14:paraId="5AF11EFD">
      <w:pPr>
        <w:jc w:val="both"/>
      </w:pPr>
      <w:r>
        <w:t>国内研究中，张齐勋等于2024年从监控数据、系统日志和分布式追踪等来源梳理微服务依赖发现技术，区分调用依赖与逻辑依赖，并说明相关性判断的局限。</w:t>
      </w:r>
      <w:r>
        <w:rPr>
          <w:vertAlign w:val="superscript"/>
        </w:rPr>
        <w:t>[9]</w:t>
      </w:r>
      <w:r>
        <w:t>该研究表明服务拆分后，仅有模块名称不足以支持故障定位，还需要了解一次请求和一个业务结果经过哪些服务。本文因此围绕任务、会话与事件标识分析调用关系；当前实现并未开展自动依赖发现，不能将综述中的运维能力写成项目已有功能。</w:t>
      </w:r>
    </w:p>
    <w:p w14:paraId="345388AA">
      <w:pPr>
        <w:jc w:val="both"/>
      </w:pPr>
      <w:r>
        <w:t>2026年，Bação与Guerreiro将事件驱动微服务的一致性问题划分为数据、流程和系统演化三个层面，整理最终一致性、补偿和契约管理等应对方案，并指出文献检索来源及分类验证的限制。</w:t>
      </w:r>
      <w:r>
        <w:rPr>
          <w:vertAlign w:val="superscript"/>
        </w:rPr>
        <w:t>[10]</w:t>
      </w:r>
      <w:r>
        <w:t>这一划分适合解释培训任务的异步变化：消息送达只解决传播的一部分，重复消费、迟到事件和状态回退还涉及业务流程。本文采用本地事务、Outbox与状态检查组合处理，而不以“已经使用消息队列”代替一致性论证。</w:t>
      </w:r>
    </w:p>
    <w:p w14:paraId="6E2567BF">
      <w:pPr>
        <w:jc w:val="both"/>
      </w:pPr>
      <w:r>
        <w:t>上述研究各有侧重。职业安全培训研究重视实际行为和事故结果，学习分析研究重视反馈与解释，监考研究关注身份及信息处理，微服务研究则分析跨模块状态协调。它们不能相互替代，也没有直接给出本项目可照搬的端到端实现。本文的工作重点是将这些问题落实到一个企业培训原型：以发布快照固定规则，以保守计时和补学处理进度边界，以抽验任务保留未响应事实，以幂等事件维护结果，再用分层测试说明各项结论的适用条件。</w:t>
      </w:r>
    </w:p>
    <w:p w14:paraId="790E0FF2">
      <w:pPr>
        <w:pStyle w:val="4"/>
        <w:pageBreakBefore w:val="0"/>
      </w:pPr>
      <w:bookmarkStart w:id="6" w:name="_Toc1331"/>
      <w:r>
        <w:t>1.4 研究方法与论文组织</w:t>
      </w:r>
      <w:bookmarkEnd w:id="6"/>
    </w:p>
    <w:p w14:paraId="65B3EA1B">
      <w:pPr>
        <w:jc w:val="both"/>
      </w:pPr>
      <w:r>
        <w:t>研究采用业务建模、方案比较、源码核查与分层验证相结合的方法。需求建模从企业管理员和学员的操作出发，提取计划发布、学习累计、抽验处置、考试提交和档案查询的前后条件；系统设计比较单体与微服务、同步调用与异步事件以及动态读取与发布快照的适用性；实现分析沿接口、领域服务和数据持久化关系核对代码，避免只根据界面名称判断功能是否完成。</w:t>
      </w:r>
    </w:p>
    <w:p w14:paraId="569F56CF">
      <w:pPr>
        <w:jc w:val="both"/>
      </w:pPr>
      <w:r>
        <w:t>验证材料按形成方式区分为领域规则测试、数据库和消息组件集成测试、浏览器接口契约测试、真实接口回归及待开展的真实媒体实验。同一结果只在对应范围内使用，重复运行不累加为额外样本。本文的实现说明核对至2026年9月13日提交96a8d84，测试结果仍以9月9日存档验收为依据；后续代码的静态核查不代表这些测试已经在新版本重新执行。</w:t>
      </w:r>
    </w:p>
    <w:p w14:paraId="61374BD7">
      <w:pPr>
        <w:jc w:val="both"/>
      </w:pPr>
      <w:r>
        <w:t>全文共七章。第一章说明问题、目标与相关研究；第二章介绍服务边界、状态机和消息一致性等方法；第三章确定业务需求与约束；第四章给出架构、数据模型及核心流程；第五章分析关键功能实现；第六章比较测试结果并解释证据边界；第七章归纳完成的工作及后续验证方向。</w:t>
      </w:r>
    </w:p>
    <w:p w14:paraId="1F1A84DD">
      <w:pPr>
        <w:pStyle w:val="3"/>
        <w:pageBreakBefore/>
      </w:pPr>
      <w:bookmarkStart w:id="7" w:name="_Toc10144"/>
      <w:r>
        <w:t>2 相关理论与关键技术</w:t>
      </w:r>
      <w:bookmarkEnd w:id="7"/>
    </w:p>
    <w:p w14:paraId="3AF31D26">
      <w:pPr>
        <w:pStyle w:val="4"/>
        <w:pageBreakBefore w:val="0"/>
      </w:pPr>
      <w:bookmarkStart w:id="8" w:name="_Toc9758"/>
      <w:r>
        <w:t>2.1 服务边界与远程调用</w:t>
      </w:r>
      <w:bookmarkEnd w:id="8"/>
    </w:p>
    <w:p w14:paraId="15BD2FF3">
      <w:pPr>
        <w:jc w:val="both"/>
      </w:pPr>
      <w:r>
        <w:t>在线培训的业务对象具有不同的变更节奏。组织、用户和权限主要在管理操作中变化，课程和培训计划围绕发布与分配变化，学习会话则持续接收进度事件。将三类对象放在同一服务中能够减少部署节点和远程调用，但也容易让高频学习逻辑与低频管理逻辑共享过多实现细节。本项目采用按业务职责划分的服务边界，分别维护管理、培训和学习数据。</w:t>
      </w:r>
    </w:p>
    <w:p w14:paraId="0A84C649">
      <w:pPr>
        <w:jc w:val="both"/>
      </w:pPr>
      <w:r>
        <w:t>Dubbo通过服务接口连接调用方与提供方，配合注册发现完成远程调用。</w:t>
      </w:r>
      <w:r>
        <w:rPr>
          <w:vertAlign w:val="superscript"/>
        </w:rPr>
        <w:t>[11]</w:t>
      </w:r>
      <w:r>
        <w:t>在本项目中，接口模块统一声明请求和返回类型，业务服务实现具体规则，Web API负责面向页面的接口组合。RPC返回值采用具有明确泛型的Result结构，调用方先判断业务结果，再读取数据。服务拆分并不自动提升性能；只有边界清楚、调用粒度适当时，才能减少跨模块依赖对后续修改的影响。</w:t>
      </w:r>
    </w:p>
    <w:p w14:paraId="34483B48">
      <w:pPr>
        <w:jc w:val="both"/>
      </w:pPr>
      <w:r>
        <w:t>Michael Ayas等通过访谈和开发者讨论研究微服务迁移，指出服务拆分还依赖业务理解、部署、测试和监控条件。</w:t>
      </w:r>
      <w:r>
        <w:rPr>
          <w:vertAlign w:val="superscript"/>
        </w:rPr>
        <w:t>[12]</w:t>
      </w:r>
      <w:r>
        <w:t>这一经验提示本项目应先明确数据所有权，再决定调用关系。对于查询页面，逐行跨服务读取可能造成请求数量随列表长度增长。项目以当前页任务集合为输入，批量查询学习进度，再在Web API完成组合。这一处理把远程请求数量与页面记录数适度分离，同时保持各服务对自身数据的解释权。由于缺少相同负载下的前后耗时实测，本文将其视为控制调用规模的设计，而不声称响应时间已经降低某一比例。</w:t>
      </w:r>
    </w:p>
    <w:p w14:paraId="4370E6A9">
      <w:pPr>
        <w:pStyle w:val="4"/>
        <w:pageBreakBefore w:val="0"/>
      </w:pPr>
      <w:bookmarkStart w:id="9" w:name="_Toc21770"/>
      <w:r>
        <w:t>2.2 状态机与有效学时</w:t>
      </w:r>
      <w:bookmarkEnd w:id="9"/>
    </w:p>
    <w:p w14:paraId="1DA4AFB2">
      <w:pPr>
        <w:jc w:val="both"/>
      </w:pPr>
      <w:r>
        <w:t>状态机用有限的状态和受条件约束的转换表示学习过程。视频播放、暂停、身份核验和完成之间存在业务约束：处于抽验等待状态时不能继续增加学时，已经关闭的会话不能因迟到消息恢复为播放状态，断线重连后也不能直接沿用浏览器缓存的旧状态。将这些条件集中到服务端，有助于避免多个接口分别修改状态而出现相互矛盾的结果。</w:t>
      </w:r>
    </w:p>
    <w:p w14:paraId="0DAEF539">
      <w:pPr>
        <w:jc w:val="both"/>
      </w:pPr>
      <w:r>
        <w:t>有效学时是符合规则的时间累计量，与页面停留时间、媒体总时长和学习效果均有区别。页面停留不能证明视频持续播放，播放到结尾也不能保证所有区间都被合法计入；即使满足学时要求，也不能据此证明学员理解了全部内容。因此，系统分别维护播放位置、有效学时和考试成绩。学习完成规则检查前两者形成的任务条件，考试结果作为需要考核的计划模式下的另一项条件。</w:t>
      </w:r>
    </w:p>
    <w:p w14:paraId="6D37BB31">
      <w:pPr>
        <w:jc w:val="both"/>
      </w:pPr>
      <w:r>
        <w:t>对于符合状态及顺序要求的进度区间，设服务端相邻确认时间差为Δt，媒体位置非负增量为Δp，允许的最大上报间隔为G，剩余规定学时为R，计入量可表示为式（2-1）。如果状态不允许计时、时间间隔超过G或者位置变化违反防拖动规则，则进入拒绝或零计时分支，而不直接套用最小值公式。</w:t>
      </w:r>
    </w:p>
    <w:p w14:paraId="38687CA8">
      <w:pPr>
        <w:ind w:firstLine="0"/>
        <w:jc w:val="center"/>
      </w:pPr>
      <m:oMath>
        <m:r>
          <m:rPr/>
          <m:t>Δτ = min{max(0, Δt), max(0, Δp), G, max(0, R)}</m:t>
        </m:r>
      </m:oMath>
      <w:r>
        <w:t xml:space="preserve">    （2-1）</w:t>
      </w:r>
    </w:p>
    <w:p w14:paraId="719C15E6">
      <w:pPr>
        <w:jc w:val="both"/>
      </w:pPr>
      <w:r>
        <w:t>公式体现保守累计原则。网络抖动使某段媒体位置增加10秒而服务端仅经过9秒时，该段最多计入9秒；相邻下一段经过11秒而位置增加10秒时最多计入10秒，前一段少计的时间不会自动补回。容差用于判断位置变化是否合理，并不作为附加学时。此规则降低了客户端异常增长被直接计入的可能性，也带来了正常播放后仍可能需要补学的体验代价。</w:t>
      </w:r>
    </w:p>
    <w:p w14:paraId="024523B7">
      <w:pPr>
        <w:pStyle w:val="4"/>
        <w:pageBreakBefore w:val="0"/>
      </w:pPr>
      <w:bookmarkStart w:id="10" w:name="_Toc30210"/>
      <w:r>
        <w:t>2.3 本地事务与消息最终一致性</w:t>
      </w:r>
      <w:bookmarkEnd w:id="10"/>
    </w:p>
    <w:p w14:paraId="514488BE">
      <w:pPr>
        <w:jc w:val="both"/>
      </w:pPr>
      <w:r>
        <w:t>数据库事务能够在单个业务库中保证一组更新共同提交或回滚，不能直接保证另一个服务同时完成处理。黄纯悦等的综述从多副本架构、一致性维护和跨节点并发控制讨论分布式事务技术。</w:t>
      </w:r>
      <w:r>
        <w:rPr>
          <w:vertAlign w:val="superscript"/>
        </w:rPr>
        <w:t>[13]</w:t>
      </w:r>
      <w:r>
        <w:t>数据库副本一致性与业务事件一致性处于不同层面，本项目采用的Outbox不实现该类数据库系统的复制协议。假设学习服务先保存进度，再向消息代理发送完成事件，进度提交后进程退出会留下尚未通知培训服务的状态；如果先发送事件再提交进度，消费端又可能看到尚未成立的完成结果。问题来自数据库写入与消息发送之间缺少共同提交点。</w:t>
      </w:r>
    </w:p>
    <w:p w14:paraId="5933D0A4">
      <w:pPr>
        <w:jc w:val="both"/>
      </w:pPr>
      <w:r>
        <w:t>事务性Outbox模式把业务更新和待发送事件写入同一数据库事务，随后由独立发送过程转发事件。</w:t>
      </w:r>
      <w:r>
        <w:rPr>
          <w:vertAlign w:val="superscript"/>
        </w:rPr>
        <w:t>[14]</w:t>
      </w:r>
      <w:r>
        <w:t>项目据此将学时、受理事件和消息记录在学习库中共同保存。发送失败后保留可重试记录，消费端使用事件标识去重。该模式接受短暂的状态传播延迟，以本地事务和重试机制减少消息遗漏；发送器恢复、消费去重和异常记录都属于其必要组成部分。</w:t>
      </w:r>
    </w:p>
    <w:p w14:paraId="6017390D">
      <w:pPr>
        <w:jc w:val="both"/>
      </w:pPr>
      <w:r>
        <w:t>消息代理确认与消费确认具有不同含义。RabbitMQ的发布确认用于反馈代理是否接收处理发布消息，不能单独证明消息已经到达业务消费者；对于不能路由的消息，还需要检查退回通知。</w:t>
      </w:r>
      <w:r>
        <w:rPr>
          <w:vertAlign w:val="superscript"/>
        </w:rPr>
        <w:t>[15]</w:t>
      </w:r>
      <w:r>
        <w:t>因此，系统只有在发布确认满足要求且不存在路由退回时，才把待发送记录标记为已发送。消费端最终完成业务更新后再形成消费结果，页面上的任务状态仍可能晚于学习库中的进度变化。</w:t>
      </w:r>
    </w:p>
    <w:p w14:paraId="1FEC4D14">
      <w:pPr>
        <w:pStyle w:val="4"/>
        <w:pageBreakBefore w:val="0"/>
      </w:pPr>
      <w:bookmarkStart w:id="11" w:name="_Toc17173"/>
      <w:r>
        <w:t>2.4 身份抽验与信息保护</w:t>
      </w:r>
      <w:bookmarkEnd w:id="11"/>
    </w:p>
    <w:p w14:paraId="31BD104B">
      <w:pPr>
        <w:jc w:val="both"/>
      </w:pPr>
      <w:r>
        <w:t>项目使用人脸检测与特征比较实现一对一身份抽验。检测阶段判断输入是否包含可用人脸，特征阶段比较登记图像与本次提交图像，最后将相似度与配置阈值比较。YuNet与SFace承担模型能力，业务服务负责抽验任务的创建、截止时间、重试次数和失败处置。模型分数与业务决定分层处理，便于在更换模型或阈值后仍保留稳定的任务流程。</w:t>
      </w:r>
    </w:p>
    <w:p w14:paraId="365BD400">
      <w:pPr>
        <w:jc w:val="both"/>
      </w:pPr>
      <w:r>
        <w:t>Wu等提出的YuNet使用轻量化特征提取与简化的特征融合结构，研究重点是人脸检测的计算成本与精度之间的取舍。</w:t>
      </w:r>
      <w:r>
        <w:rPr>
          <w:vertAlign w:val="superscript"/>
        </w:rPr>
        <w:t>[16]</w:t>
      </w:r>
      <w:r>
        <w:t>Zhong等提出的SFace通过损失函数约束人脸特征学习，以处理不同质量训练图像带来的问题。</w:t>
      </w:r>
      <w:r>
        <w:rPr>
          <w:vertAlign w:val="superscript"/>
        </w:rPr>
        <w:t>[17]</w:t>
      </w:r>
      <w:r>
        <w:t>项目使用已经提供的模型进行推理，没有重新训练模型，也不把原论文的基准指标直接作为本系统指标。检测到人脸与核实登记身份是两个步骤，身份相似度比较又不同于活体检测，三者需要分别验证。</w:t>
      </w:r>
    </w:p>
    <w:p w14:paraId="17D46369">
      <w:pPr>
        <w:jc w:val="both"/>
      </w:pPr>
      <w:r>
        <w:t>人脸信息具有敏感性。《中华人民共和国个人信息保护法》对敏感个人信息提出特定目的、充分必要性和严格保护等要求。</w:t>
      </w:r>
      <w:r>
        <w:rPr>
          <w:vertAlign w:val="superscript"/>
        </w:rPr>
        <w:t>[18]</w:t>
      </w:r>
      <w:r>
        <w:t>2025年施行的《人脸识别技术应用安全管理办法》进一步规定告知、保存期限和替代验证方式等规则。</w:t>
      </w:r>
      <w:r>
        <w:rPr>
          <w:vertAlign w:val="superscript"/>
        </w:rPr>
        <w:t>[19]</w:t>
      </w:r>
      <w:r>
        <w:t>因此，私有存储和访问控制只是系统设计的一部分，正式应用还需要明确告知、授权依据、保存与删除策略，并落实合理便捷的替代核验流程。当前原型不能因为已经接入模型就被描述为完成了全部应用合规要求。</w:t>
      </w:r>
    </w:p>
    <w:p w14:paraId="77582DA0">
      <w:pPr>
        <w:pStyle w:val="4"/>
        <w:pageBreakBefore w:val="0"/>
      </w:pPr>
      <w:bookmarkStart w:id="12" w:name="_Toc24668"/>
      <w:r>
        <w:t>2.5 前后端与持久化技术选择</w:t>
      </w:r>
      <w:bookmarkEnd w:id="12"/>
    </w:p>
    <w:p w14:paraId="650BAAB7">
      <w:pPr>
        <w:jc w:val="both"/>
      </w:pPr>
      <w:r>
        <w:t>项目后端采用JDK 17、Spring Boot 3.5.3、Dubbo 3.3.6和MyBatis-Flex 1.11.4，数据库结构由Flyway迁移管理。JDK版本依据当前父工程配置确定。MySQL存储业务事实和约束，Redis承担认证会话及授权缓存，RabbitMQ传递学习结果，Nacos承担配置和注册发现，各组件用途不同，不以缓存内容替代学习档案。</w:t>
      </w:r>
    </w:p>
    <w:p w14:paraId="479645BC">
      <w:pPr>
        <w:jc w:val="both"/>
      </w:pPr>
      <w:r>
        <w:t>前端采用Vue 3、TypeScript、Element Plus、Pinia和Vite。类型声明使页面与接口字段之间的关系可检查，组件化组织便于复用表单、列表和状态提示。媒体文件采用浏览器直传私有对象存储的方式，后端保留授权与元数据校验职责，避免把大文件流量都汇集到Web API。HTTP范围请求允许按字节区间获取资源，是视频定位与分段读取的协议基础。</w:t>
      </w:r>
      <w:r>
        <w:rPr>
          <w:vertAlign w:val="superscript"/>
        </w:rPr>
        <w:t>[20]</w:t>
      </w:r>
      <w:r>
        <w:t>项目仍需通过真实OSS和浏览器解码实验验证存储配置与播放链路的组合行为。</w:t>
      </w:r>
    </w:p>
    <w:p w14:paraId="346AF172">
      <w:pPr>
        <w:pStyle w:val="3"/>
        <w:pageBreakBefore/>
      </w:pPr>
      <w:bookmarkStart w:id="13" w:name="_Toc32181"/>
      <w:r>
        <w:t>3 需求与可行性分析</w:t>
      </w:r>
      <w:bookmarkEnd w:id="13"/>
    </w:p>
    <w:p w14:paraId="1764322F">
      <w:pPr>
        <w:pStyle w:val="4"/>
        <w:pageBreakBefore w:val="0"/>
      </w:pPr>
      <w:bookmarkStart w:id="14" w:name="_Toc32273"/>
      <w:r>
        <w:t>3.1 用户角色与业务范围</w:t>
      </w:r>
      <w:bookmarkEnd w:id="14"/>
    </w:p>
    <w:p w14:paraId="0D2BCD93">
      <w:pPr>
        <w:jc w:val="both"/>
      </w:pPr>
      <w:r>
        <w:t>平台管理员负责建立企业及管理账号，维护平台层面的基础组织能力。企业管理员负责本企业部门、学员、车辆、课程、试题、试卷、培训计划和统计查询。学员查看本人任务、完成学习和考试，并查询个人培训档案。角色用于组织功能权限，企业标识和用户标识用于限定数据范围，两者共同构成一次业务访问的条件。</w:t>
      </w:r>
    </w:p>
    <w:p w14:paraId="213D86D1">
      <w:pPr>
        <w:jc w:val="both"/>
      </w:pPr>
      <w:r>
        <w:t>论文中的学时监管指企业管理员对本企业学习过程的查询和核对。虽然项目已经整理行政区域数据范围规则，但行业管理机构跨企业监管还需要独立授权模型，不能把行政区域字段存在等同于跨企业监管已经实现。车辆模块维护车牌、企业、可选部门及启停状态，并支持人员可选绑定一辆本企业车辆，同一车辆可关联多人；不承担营运证生命周期或驾驶员调度。</w:t>
      </w:r>
    </w:p>
    <w:p w14:paraId="191763FC">
      <w:pPr>
        <w:jc w:val="both"/>
      </w:pPr>
      <w:r>
        <w:t>表3-1概括角色与主要对象的关系。表中的“本企业”和“本人”是服务端数据范围要求，并非只对前端菜单的显示规则作说明。</w:t>
      </w:r>
    </w:p>
    <w:p w14:paraId="02CD676D">
      <w:pPr>
        <w:pStyle w:val="15"/>
      </w:pPr>
      <w:r>
        <w:t>表3-1 用户角色与业务操作范围</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599043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319AD4B">
            <w:pPr>
              <w:keepNext/>
              <w:spacing w:before="40" w:after="40" w:line="300" w:lineRule="auto"/>
              <w:ind w:firstLine="0"/>
              <w:jc w:val="center"/>
            </w:pPr>
            <w:r>
              <w:rPr>
                <w:b/>
                <w:sz w:val="21"/>
              </w:rPr>
              <w:t>角色</w:t>
            </w:r>
          </w:p>
        </w:tc>
        <w:tc>
          <w:tcPr>
            <w:tcW w:w="3175" w:type="dxa"/>
            <w:shd w:val="clear" w:color="auto" w:fill="F0F0F0"/>
            <w:vAlign w:val="center"/>
          </w:tcPr>
          <w:p w14:paraId="521569F8">
            <w:pPr>
              <w:keepNext/>
              <w:spacing w:before="40" w:after="40" w:line="300" w:lineRule="auto"/>
              <w:ind w:firstLine="0"/>
              <w:jc w:val="center"/>
            </w:pPr>
            <w:r>
              <w:rPr>
                <w:b/>
                <w:sz w:val="21"/>
              </w:rPr>
              <w:t>主要操作</w:t>
            </w:r>
          </w:p>
        </w:tc>
        <w:tc>
          <w:tcPr>
            <w:tcW w:w="3798" w:type="dxa"/>
            <w:shd w:val="clear" w:color="auto" w:fill="F0F0F0"/>
            <w:vAlign w:val="center"/>
          </w:tcPr>
          <w:p w14:paraId="429FC7FF">
            <w:pPr>
              <w:keepNext/>
              <w:spacing w:before="40" w:after="40" w:line="300" w:lineRule="auto"/>
              <w:ind w:firstLine="0"/>
              <w:jc w:val="center"/>
            </w:pPr>
            <w:r>
              <w:rPr>
                <w:b/>
                <w:sz w:val="21"/>
              </w:rPr>
              <w:t>数据范围</w:t>
            </w:r>
          </w:p>
        </w:tc>
      </w:tr>
      <w:tr w14:paraId="44264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44FE5CB">
            <w:pPr>
              <w:keepNext/>
              <w:spacing w:before="40" w:after="40" w:line="300" w:lineRule="auto"/>
              <w:ind w:firstLine="0"/>
              <w:jc w:val="left"/>
            </w:pPr>
            <w:r>
              <w:rPr>
                <w:sz w:val="21"/>
              </w:rPr>
              <w:t>平台管理员</w:t>
            </w:r>
          </w:p>
        </w:tc>
        <w:tc>
          <w:tcPr>
            <w:tcW w:w="3175" w:type="dxa"/>
            <w:vAlign w:val="center"/>
          </w:tcPr>
          <w:p w14:paraId="51978241">
            <w:pPr>
              <w:keepNext/>
              <w:spacing w:before="40" w:after="40" w:line="300" w:lineRule="auto"/>
              <w:ind w:firstLine="0"/>
              <w:jc w:val="left"/>
            </w:pPr>
            <w:r>
              <w:rPr>
                <w:sz w:val="21"/>
              </w:rPr>
              <w:t>建立组织及管理账号</w:t>
            </w:r>
          </w:p>
        </w:tc>
        <w:tc>
          <w:tcPr>
            <w:tcW w:w="3798" w:type="dxa"/>
            <w:vAlign w:val="center"/>
          </w:tcPr>
          <w:p w14:paraId="23EC87F5">
            <w:pPr>
              <w:keepNext/>
              <w:spacing w:before="40" w:after="40" w:line="300" w:lineRule="auto"/>
              <w:ind w:firstLine="0"/>
              <w:jc w:val="left"/>
            </w:pPr>
            <w:r>
              <w:rPr>
                <w:sz w:val="21"/>
              </w:rPr>
              <w:t>按平台授权处理基础对象</w:t>
            </w:r>
          </w:p>
        </w:tc>
      </w:tr>
      <w:tr w14:paraId="0B7108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629718E">
            <w:pPr>
              <w:keepNext/>
              <w:spacing w:before="40" w:after="40" w:line="300" w:lineRule="auto"/>
              <w:ind w:firstLine="0"/>
              <w:jc w:val="left"/>
            </w:pPr>
            <w:r>
              <w:rPr>
                <w:sz w:val="21"/>
              </w:rPr>
              <w:t>企业管理员</w:t>
            </w:r>
          </w:p>
        </w:tc>
        <w:tc>
          <w:tcPr>
            <w:tcW w:w="3175" w:type="dxa"/>
            <w:vAlign w:val="center"/>
          </w:tcPr>
          <w:p w14:paraId="5085FEA1">
            <w:pPr>
              <w:keepNext/>
              <w:spacing w:before="40" w:after="40" w:line="300" w:lineRule="auto"/>
              <w:ind w:firstLine="0"/>
              <w:jc w:val="left"/>
            </w:pPr>
            <w:r>
              <w:rPr>
                <w:sz w:val="21"/>
              </w:rPr>
              <w:t>管理课程、计划、人员、车辆、考试与档案</w:t>
            </w:r>
          </w:p>
        </w:tc>
        <w:tc>
          <w:tcPr>
            <w:tcW w:w="3798" w:type="dxa"/>
            <w:vAlign w:val="center"/>
          </w:tcPr>
          <w:p w14:paraId="4BD9C86A">
            <w:pPr>
              <w:keepNext/>
              <w:spacing w:before="40" w:after="40" w:line="300" w:lineRule="auto"/>
              <w:ind w:firstLine="0"/>
              <w:jc w:val="left"/>
            </w:pPr>
            <w:r>
              <w:rPr>
                <w:sz w:val="21"/>
              </w:rPr>
              <w:t>当前登录企业</w:t>
            </w:r>
          </w:p>
        </w:tc>
      </w:tr>
      <w:tr w14:paraId="69FCFB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3CDD279">
            <w:pPr>
              <w:keepNext w:val="0"/>
              <w:spacing w:before="40" w:after="40" w:line="300" w:lineRule="auto"/>
              <w:ind w:firstLine="0"/>
              <w:jc w:val="left"/>
            </w:pPr>
            <w:r>
              <w:rPr>
                <w:sz w:val="21"/>
              </w:rPr>
              <w:t>学员</w:t>
            </w:r>
          </w:p>
        </w:tc>
        <w:tc>
          <w:tcPr>
            <w:tcW w:w="3175" w:type="dxa"/>
            <w:vAlign w:val="center"/>
          </w:tcPr>
          <w:p w14:paraId="255306D8">
            <w:pPr>
              <w:keepNext w:val="0"/>
              <w:spacing w:before="40" w:after="40" w:line="300" w:lineRule="auto"/>
              <w:ind w:firstLine="0"/>
              <w:jc w:val="left"/>
            </w:pPr>
            <w:r>
              <w:rPr>
                <w:sz w:val="21"/>
              </w:rPr>
              <w:t>参加学习、提交考试、查询成果</w:t>
            </w:r>
          </w:p>
        </w:tc>
        <w:tc>
          <w:tcPr>
            <w:tcW w:w="3798" w:type="dxa"/>
            <w:vAlign w:val="center"/>
          </w:tcPr>
          <w:p w14:paraId="0CFBFB9E">
            <w:pPr>
              <w:keepNext w:val="0"/>
              <w:spacing w:before="40" w:after="40" w:line="300" w:lineRule="auto"/>
              <w:ind w:firstLine="0"/>
              <w:jc w:val="left"/>
            </w:pPr>
            <w:r>
              <w:rPr>
                <w:sz w:val="21"/>
              </w:rPr>
              <w:t>本人被分配的任务</w:t>
            </w:r>
          </w:p>
        </w:tc>
      </w:tr>
    </w:tbl>
    <w:p w14:paraId="5FBB92DA">
      <w:pPr>
        <w:spacing w:after="80" w:line="240" w:lineRule="auto"/>
      </w:pPr>
    </w:p>
    <w:p w14:paraId="71E6AE0E">
      <w:pPr>
        <w:pStyle w:val="4"/>
        <w:pageBreakBefore w:val="0"/>
      </w:pPr>
      <w:bookmarkStart w:id="15" w:name="_Toc3061"/>
      <w:r>
        <w:t>3.2 培训业务流程与功能需求</w:t>
      </w:r>
      <w:bookmarkEnd w:id="15"/>
    </w:p>
    <w:p w14:paraId="0F9ABE31">
      <w:pPr>
        <w:pStyle w:val="5"/>
        <w:pageBreakBefore w:val="0"/>
      </w:pPr>
      <w:bookmarkStart w:id="16" w:name="_Toc11476"/>
      <w:r>
        <w:t>3.2.1 课程与计划发布</w:t>
      </w:r>
      <w:bookmarkEnd w:id="16"/>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课程编辑与历史任务必须隔离。如果一门课程从100秒视频调整为更长视频，已经参加旧计划的学员不应在没有重新发布的情况下突然增加学习要求。同样，试题答案维护不能改写既有考试的判分依据。需求因此区分可维护的基础资源与发布后服务于具体任务的快照资源，删除和停用操作也要检查对象是否被既有业务引用。</w:t>
      </w:r>
    </w:p>
    <w:p w14:paraId="51B98681">
      <w:pPr>
        <w:pStyle w:val="5"/>
        <w:pageBreakBefore w:val="0"/>
      </w:pPr>
      <w:bookmarkStart w:id="17" w:name="_Toc17479"/>
      <w:r>
        <w:t>3.2.2 学习与异常恢复</w:t>
      </w:r>
      <w:bookmarkEnd w:id="17"/>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需要同时考虑界面与服务端。前端检测连接不可用后暂停播放入口，恢复连接时先获取已确认状态，再决定是否继续学习；服务端不能把断线期间客户端自行推进的位置全部补记为学时。所有课件已经到达结尾但累计值仍不足时，应允许按正常规则重新播放补足差额。补学不能清空原累计值，也不能仅点击播放就增加学时。</w:t>
      </w:r>
    </w:p>
    <w:p w14:paraId="08E7585D">
      <w:pPr>
        <w:pStyle w:val="5"/>
        <w:pageBreakBefore w:val="0"/>
      </w:pPr>
      <w:bookmarkStart w:id="18" w:name="_Toc17069"/>
      <w:r>
        <w:t>3.2.3 抽验与考试</w:t>
      </w:r>
      <w:bookmarkEnd w:id="18"/>
    </w:p>
    <w:p w14:paraId="3BF1D7D6">
      <w:pPr>
        <w:jc w:val="both"/>
      </w:pPr>
      <w:r>
        <w:t>身份抽验需要记录“系统要求进行一次核验”和“学员提交了一次图像”两个事实。学员可能在截止时间前提交多次，也可能始终不提交。因此，抽验任务具有独立状态，提交日志归属于任务；超时任务即使没有照片也必须能够被管理员查询。核验期间暂停正常学习，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19" w:name="_Toc8298"/>
      <w:r>
        <w:t>3.2.4 档案与统计</w:t>
      </w:r>
      <w:bookmarkEnd w:id="19"/>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采用任务和确认进度作为来源，展示状态应能够解释到具体明细。完成比例、学习进度与考试通过情况需要使用明确分母，不能把未参加考试等同于考试不及格。由于任务完成状态由事件投影维护，统计页面需要接受短暂传播延迟，遇到差异时能够沿任务、会话和事件标识追溯，而不是人工覆盖最终结果。</w:t>
      </w:r>
    </w:p>
    <w:p w14:paraId="16ED2F2E">
      <w:pPr>
        <w:pStyle w:val="4"/>
        <w:pageBreakBefore w:val="0"/>
      </w:pPr>
      <w:bookmarkStart w:id="20" w:name="_Toc18132"/>
      <w:r>
        <w:t>3.3 非功能需求</w:t>
      </w:r>
      <w:bookmarkEnd w:id="20"/>
    </w:p>
    <w:p w14:paraId="26BDFBA4">
      <w:pPr>
        <w:jc w:val="both"/>
      </w:pPr>
      <w:r>
        <w:t>安全性首先体现为服务端持续验证数据归属。仅在登录时确认企业身份并不足够，后续按记录编号读取、修改或查询详情时都需要重新检查。认证令牌不放入URL，课程访问使用短期授权地址，历史档案只返回业务必需字段。浏览器认证采用HttpOnly Cookie和CSRF双提交保护，前端不能将读取不到令牌内容误解为不需要处理跨站请求风险。</w:t>
      </w:r>
    </w:p>
    <w:p w14:paraId="0FD4F072">
      <w:pPr>
        <w:jc w:val="both"/>
      </w:pPr>
      <w:r>
        <w:t>可靠性要求同一业务事件的重复出现不会改变其最终含义。学习进度需要幂等处理，消息重复消费需要去重，迟到的开始事件不能把完成任务回退为进行中。发生依赖故障时应保留重试所需信息，同时让失败能够被识别。系统允许过程状态存在短暂差异，但不接受无法解释的静默丢失。</w:t>
      </w:r>
    </w:p>
    <w:p w14:paraId="094ACDA3">
      <w:pPr>
        <w:jc w:val="both"/>
      </w:pPr>
      <w:r>
        <w:t>可维护性要求服务职责、接口泛型和数据库迁移保持明确。数据库迁移提供从空库建立结构及检查约束的路径，测试应覆盖真实数据库中的事务回滚和唯一索引，而不能只在替身对象上断言方法被调用。可部署性以单实例演示环境为目标，当前不提出已经满足多地域部署、自动故障转移或大规模并发的结论。</w:t>
      </w:r>
    </w:p>
    <w:p w14:paraId="47891903">
      <w:pPr>
        <w:pStyle w:val="4"/>
        <w:pageBreakBefore w:val="0"/>
      </w:pPr>
      <w:bookmarkStart w:id="21" w:name="_Toc30052"/>
      <w:r>
        <w:t>3.4 方案可行性与选择</w:t>
      </w:r>
      <w:bookmarkEnd w:id="21"/>
    </w:p>
    <w:p w14:paraId="17FD5DBE">
      <w:pPr>
        <w:jc w:val="both"/>
      </w:pPr>
      <w:r>
        <w:t>从技术条件看，项目已有独立模块、迁移脚本和自动化测试，基础管理、学习规则及档案查询具备代码支撑。浏览器媒体与模型接口所依赖的工具也已有接入位置，因此研究能够围绕实际实现展开。与此同时，私有OSS授权、真实照片和完整培训数据仍影响端到端验收，技术可行性不能直接替代实验完成状态。</w:t>
      </w:r>
    </w:p>
    <w:p w14:paraId="62425BE8">
      <w:pPr>
        <w:jc w:val="both"/>
      </w:pPr>
      <w:r>
        <w:t>从实施成本看，模块化单体具有部署简单、事务边界直观的优势，适合规模较小、团队人数较少的培训平台。微服务增加注册中心、消息代理和跨服务排查成本，只有业务边界及独立演进需求足够明确时才有理由采用。本项目选择Dubbo架构，重点在于研究管理、培训和高频学习的职责分离，并通过Outbox解决拆分后暴露的一致性问题，不能据此断言单体方案不适用。</w:t>
      </w:r>
    </w:p>
    <w:p w14:paraId="424620D4">
      <w:pPr>
        <w:pStyle w:val="15"/>
      </w:pPr>
      <w:r>
        <w:t>表3-2 系统方案比较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4FB11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256261D4">
            <w:pPr>
              <w:keepNext/>
              <w:spacing w:before="40" w:after="40" w:line="300" w:lineRule="auto"/>
              <w:ind w:firstLine="0"/>
              <w:jc w:val="center"/>
            </w:pPr>
            <w:r>
              <w:rPr>
                <w:b/>
                <w:sz w:val="21"/>
              </w:rPr>
              <w:t>方案</w:t>
            </w:r>
          </w:p>
        </w:tc>
        <w:tc>
          <w:tcPr>
            <w:tcW w:w="2608" w:type="dxa"/>
            <w:shd w:val="clear" w:color="auto" w:fill="F0F0F0"/>
            <w:vAlign w:val="center"/>
          </w:tcPr>
          <w:p w14:paraId="73B2968D">
            <w:pPr>
              <w:keepNext/>
              <w:spacing w:before="40" w:after="40" w:line="300" w:lineRule="auto"/>
              <w:ind w:firstLine="0"/>
              <w:jc w:val="center"/>
            </w:pPr>
            <w:r>
              <w:rPr>
                <w:b/>
                <w:sz w:val="21"/>
              </w:rPr>
              <w:t>主要优点</w:t>
            </w:r>
          </w:p>
        </w:tc>
        <w:tc>
          <w:tcPr>
            <w:tcW w:w="2211" w:type="dxa"/>
            <w:shd w:val="clear" w:color="auto" w:fill="F0F0F0"/>
            <w:vAlign w:val="center"/>
          </w:tcPr>
          <w:p w14:paraId="5F8C9870">
            <w:pPr>
              <w:keepNext/>
              <w:spacing w:before="40" w:after="40" w:line="300" w:lineRule="auto"/>
              <w:ind w:firstLine="0"/>
              <w:jc w:val="center"/>
            </w:pPr>
            <w:r>
              <w:rPr>
                <w:b/>
                <w:sz w:val="21"/>
              </w:rPr>
              <w:t>主要代价</w:t>
            </w:r>
          </w:p>
        </w:tc>
        <w:tc>
          <w:tcPr>
            <w:tcW w:w="2551" w:type="dxa"/>
            <w:shd w:val="clear" w:color="auto" w:fill="F0F0F0"/>
            <w:vAlign w:val="center"/>
          </w:tcPr>
          <w:p w14:paraId="36F2217A">
            <w:pPr>
              <w:keepNext/>
              <w:spacing w:before="40" w:after="40" w:line="300" w:lineRule="auto"/>
              <w:ind w:firstLine="0"/>
              <w:jc w:val="center"/>
            </w:pPr>
            <w:r>
              <w:rPr>
                <w:b/>
                <w:sz w:val="21"/>
              </w:rPr>
              <w:t>本项目取舍</w:t>
            </w:r>
          </w:p>
        </w:tc>
      </w:tr>
      <w:tr w14:paraId="45B679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7D0E6682">
            <w:pPr>
              <w:keepNext/>
              <w:spacing w:before="40" w:after="40" w:line="300" w:lineRule="auto"/>
              <w:ind w:firstLine="0"/>
              <w:jc w:val="left"/>
            </w:pPr>
            <w:r>
              <w:rPr>
                <w:sz w:val="21"/>
              </w:rPr>
              <w:t>模块化单体</w:t>
            </w:r>
          </w:p>
        </w:tc>
        <w:tc>
          <w:tcPr>
            <w:tcW w:w="2608" w:type="dxa"/>
            <w:vAlign w:val="center"/>
          </w:tcPr>
          <w:p w14:paraId="0930C8A8">
            <w:pPr>
              <w:keepNext/>
              <w:spacing w:before="40" w:after="40" w:line="300" w:lineRule="auto"/>
              <w:ind w:firstLine="0"/>
              <w:jc w:val="left"/>
            </w:pPr>
            <w:r>
              <w:rPr>
                <w:sz w:val="21"/>
              </w:rPr>
              <w:t>部署节点少，本地事务易理解</w:t>
            </w:r>
          </w:p>
        </w:tc>
        <w:tc>
          <w:tcPr>
            <w:tcW w:w="2211" w:type="dxa"/>
            <w:vAlign w:val="center"/>
          </w:tcPr>
          <w:p w14:paraId="18D25997">
            <w:pPr>
              <w:keepNext/>
              <w:spacing w:before="40" w:after="40" w:line="300" w:lineRule="auto"/>
              <w:ind w:firstLine="0"/>
              <w:jc w:val="left"/>
            </w:pPr>
            <w:r>
              <w:rPr>
                <w:sz w:val="21"/>
              </w:rPr>
              <w:t>业务模块共享进程</w:t>
            </w:r>
          </w:p>
        </w:tc>
        <w:tc>
          <w:tcPr>
            <w:tcW w:w="2551" w:type="dxa"/>
            <w:vAlign w:val="center"/>
          </w:tcPr>
          <w:p w14:paraId="50448827">
            <w:pPr>
              <w:keepNext/>
              <w:spacing w:before="40" w:after="40" w:line="300" w:lineRule="auto"/>
              <w:ind w:firstLine="0"/>
              <w:jc w:val="left"/>
            </w:pPr>
            <w:r>
              <w:rPr>
                <w:sz w:val="21"/>
              </w:rPr>
              <w:t>可作为小规模部署对照</w:t>
            </w:r>
          </w:p>
        </w:tc>
      </w:tr>
      <w:tr w14:paraId="72BAF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70BD0C1">
            <w:pPr>
              <w:keepNext/>
              <w:spacing w:before="40" w:after="40" w:line="300" w:lineRule="auto"/>
              <w:ind w:firstLine="0"/>
              <w:jc w:val="left"/>
            </w:pPr>
            <w:r>
              <w:rPr>
                <w:sz w:val="21"/>
              </w:rPr>
              <w:t>业务微服务</w:t>
            </w:r>
          </w:p>
        </w:tc>
        <w:tc>
          <w:tcPr>
            <w:tcW w:w="2608" w:type="dxa"/>
            <w:vAlign w:val="center"/>
          </w:tcPr>
          <w:p w14:paraId="4E5D81C6">
            <w:pPr>
              <w:keepNext/>
              <w:spacing w:before="40" w:after="40" w:line="300" w:lineRule="auto"/>
              <w:ind w:firstLine="0"/>
              <w:jc w:val="left"/>
            </w:pPr>
            <w:r>
              <w:rPr>
                <w:sz w:val="21"/>
              </w:rPr>
              <w:t>数据职责清楚，可分别维护</w:t>
            </w:r>
          </w:p>
        </w:tc>
        <w:tc>
          <w:tcPr>
            <w:tcW w:w="2211" w:type="dxa"/>
            <w:vAlign w:val="center"/>
          </w:tcPr>
          <w:p w14:paraId="66570515">
            <w:pPr>
              <w:keepNext/>
              <w:spacing w:before="40" w:after="40" w:line="300" w:lineRule="auto"/>
              <w:ind w:firstLine="0"/>
              <w:jc w:val="left"/>
            </w:pPr>
            <w:r>
              <w:rPr>
                <w:sz w:val="21"/>
              </w:rPr>
              <w:t>远程调用及状态同步复杂</w:t>
            </w:r>
          </w:p>
        </w:tc>
        <w:tc>
          <w:tcPr>
            <w:tcW w:w="2551" w:type="dxa"/>
            <w:vAlign w:val="center"/>
          </w:tcPr>
          <w:p w14:paraId="2C89ECA2">
            <w:pPr>
              <w:keepNext/>
              <w:spacing w:before="40" w:after="40" w:line="300" w:lineRule="auto"/>
              <w:ind w:firstLine="0"/>
              <w:jc w:val="left"/>
            </w:pPr>
            <w:r>
              <w:rPr>
                <w:sz w:val="21"/>
              </w:rPr>
              <w:t>当前实现采用</w:t>
            </w:r>
          </w:p>
        </w:tc>
      </w:tr>
      <w:tr w14:paraId="3215FA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B575FE7">
            <w:pPr>
              <w:keepNext/>
              <w:spacing w:before="40" w:after="40" w:line="300" w:lineRule="auto"/>
              <w:ind w:firstLine="0"/>
              <w:jc w:val="left"/>
            </w:pPr>
            <w:r>
              <w:rPr>
                <w:sz w:val="21"/>
              </w:rPr>
              <w:t>全部同步更新</w:t>
            </w:r>
          </w:p>
        </w:tc>
        <w:tc>
          <w:tcPr>
            <w:tcW w:w="2608" w:type="dxa"/>
            <w:vAlign w:val="center"/>
          </w:tcPr>
          <w:p w14:paraId="172F4001">
            <w:pPr>
              <w:keepNext/>
              <w:spacing w:before="40" w:after="40" w:line="300" w:lineRule="auto"/>
              <w:ind w:firstLine="0"/>
              <w:jc w:val="left"/>
            </w:pPr>
            <w:r>
              <w:rPr>
                <w:sz w:val="21"/>
              </w:rPr>
              <w:t>调用结果便于直接返回</w:t>
            </w:r>
          </w:p>
        </w:tc>
        <w:tc>
          <w:tcPr>
            <w:tcW w:w="2211" w:type="dxa"/>
            <w:vAlign w:val="center"/>
          </w:tcPr>
          <w:p w14:paraId="27635C55">
            <w:pPr>
              <w:keepNext/>
              <w:spacing w:before="40" w:after="40" w:line="300" w:lineRule="auto"/>
              <w:ind w:firstLine="0"/>
              <w:jc w:val="left"/>
            </w:pPr>
            <w:r>
              <w:rPr>
                <w:sz w:val="21"/>
              </w:rPr>
              <w:t>依赖故障传递，跨库提交困难</w:t>
            </w:r>
          </w:p>
        </w:tc>
        <w:tc>
          <w:tcPr>
            <w:tcW w:w="2551" w:type="dxa"/>
            <w:vAlign w:val="center"/>
          </w:tcPr>
          <w:p w14:paraId="306F811A">
            <w:pPr>
              <w:keepNext/>
              <w:spacing w:before="40" w:after="40" w:line="300" w:lineRule="auto"/>
              <w:ind w:firstLine="0"/>
              <w:jc w:val="left"/>
            </w:pPr>
            <w:r>
              <w:rPr>
                <w:sz w:val="21"/>
              </w:rPr>
              <w:t>不用于学习完成传播</w:t>
            </w:r>
          </w:p>
        </w:tc>
      </w:tr>
      <w:tr w14:paraId="295A0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0948927">
            <w:pPr>
              <w:keepNext w:val="0"/>
              <w:spacing w:before="40" w:after="40" w:line="300" w:lineRule="auto"/>
              <w:ind w:firstLine="0"/>
              <w:jc w:val="left"/>
            </w:pPr>
            <w:r>
              <w:rPr>
                <w:sz w:val="21"/>
              </w:rPr>
              <w:t>本地事务加事件</w:t>
            </w:r>
          </w:p>
        </w:tc>
        <w:tc>
          <w:tcPr>
            <w:tcW w:w="2608" w:type="dxa"/>
            <w:vAlign w:val="center"/>
          </w:tcPr>
          <w:p w14:paraId="7815BAD9">
            <w:pPr>
              <w:keepNext w:val="0"/>
              <w:spacing w:before="40" w:after="40" w:line="300" w:lineRule="auto"/>
              <w:ind w:firstLine="0"/>
              <w:jc w:val="left"/>
            </w:pPr>
            <w:r>
              <w:rPr>
                <w:sz w:val="21"/>
              </w:rPr>
              <w:t>保留可重试记录</w:t>
            </w:r>
          </w:p>
        </w:tc>
        <w:tc>
          <w:tcPr>
            <w:tcW w:w="2211" w:type="dxa"/>
            <w:vAlign w:val="center"/>
          </w:tcPr>
          <w:p w14:paraId="6C37848E">
            <w:pPr>
              <w:keepNext w:val="0"/>
              <w:spacing w:before="40" w:after="40" w:line="300" w:lineRule="auto"/>
              <w:ind w:firstLine="0"/>
              <w:jc w:val="left"/>
            </w:pPr>
            <w:r>
              <w:rPr>
                <w:sz w:val="21"/>
              </w:rPr>
              <w:t>接受延迟，需消费去重</w:t>
            </w:r>
          </w:p>
        </w:tc>
        <w:tc>
          <w:tcPr>
            <w:tcW w:w="2551" w:type="dxa"/>
            <w:vAlign w:val="center"/>
          </w:tcPr>
          <w:p w14:paraId="6271641A">
            <w:pPr>
              <w:keepNext w:val="0"/>
              <w:spacing w:before="40" w:after="40" w:line="300" w:lineRule="auto"/>
              <w:ind w:firstLine="0"/>
              <w:jc w:val="left"/>
            </w:pPr>
            <w:r>
              <w:rPr>
                <w:sz w:val="21"/>
              </w:rPr>
              <w:t>用于学习结果投影</w:t>
            </w:r>
          </w:p>
        </w:tc>
      </w:tr>
    </w:tbl>
    <w:p w14:paraId="687AF319">
      <w:pPr>
        <w:spacing w:after="80" w:line="240" w:lineRule="auto"/>
      </w:pPr>
    </w:p>
    <w:p w14:paraId="27D04FC8">
      <w:pPr>
        <w:jc w:val="both"/>
      </w:pPr>
      <w:r>
        <w:t>业务可行性还取决于学员能否理解页面反馈。保守计时的差额需要以剩余学时和补学入口说明，抽验应显示截止状态，历史查询应清楚区分未学习和已结束。系统设计的重点因此同时包括计算规则与反馈机制，避免后台规则正确而用户无法判断下一步操作。</w:t>
      </w:r>
    </w:p>
    <w:p w14:paraId="2A65EC51">
      <w:pPr>
        <w:pStyle w:val="3"/>
        <w:pageBreakBefore/>
      </w:pPr>
      <w:bookmarkStart w:id="22" w:name="_Toc8760"/>
      <w:r>
        <w:t>4 系统设计</w:t>
      </w:r>
      <w:bookmarkEnd w:id="22"/>
    </w:p>
    <w:p w14:paraId="20D221AD">
      <w:pPr>
        <w:pStyle w:val="4"/>
        <w:pageBreakBefore w:val="0"/>
      </w:pPr>
      <w:bookmarkStart w:id="23" w:name="_Toc22624"/>
      <w:r>
        <w:t>4.1 总体架构</w:t>
      </w:r>
      <w:bookmarkEnd w:id="23"/>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ind w:firstLine="0"/>
        <w:jc w:val="center"/>
      </w:pPr>
      <w:r>
        <w:drawing>
          <wp:inline distT="0" distB="0" distL="114300" distR="114300">
            <wp:extent cx="5687695" cy="3829685"/>
            <wp:effectExtent l="0" t="0" r="8255" b="18415"/>
            <wp:docPr id="1" name="Picture 1" descr="系统架构，三个业务服务分别管理数据，人脸适配器嵌入学习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系统架构，三个业务服务分别管理数据，人脸适配器嵌入学习服务"/>
                    <pic:cNvPicPr>
                      <a:picLocks noChangeAspect="1"/>
                    </pic:cNvPicPr>
                  </pic:nvPicPr>
                  <pic:blipFill>
                    <a:blip r:embed="rId12"/>
                    <a:stretch>
                      <a:fillRect/>
                    </a:stretch>
                  </pic:blipFill>
                  <pic:spPr>
                    <a:xfrm>
                      <a:off x="0" y="0"/>
                      <a:ext cx="5688000" cy="382992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作为库嵌入学习服务，为其提供图像检测与比较能力，不是额外的独立服务进程。对象存储保存私有媒体。图中的三库表示数据所有权的分离，不要求演示环境为每个数据库配置独立物理主机。</w:t>
      </w:r>
    </w:p>
    <w:p w14:paraId="02E68B12">
      <w:pPr>
        <w:jc w:val="both"/>
      </w:pPr>
      <w:r>
        <w:t>页面接口层不承担学时计算和考试判分。学员档案需要组合培训任务与学习结果，由Web API先读取有权访问的任务，再批量查询进度。Realtime负责协议连接，Learning负责学习业务，两者的分离使连接保活与领域状态可以分别分析。认证连接建立成功也不意味着某个学习会话已经完成授权绑定。</w:t>
      </w:r>
    </w:p>
    <w:p w14:paraId="52F71E83">
      <w:pPr>
        <w:pStyle w:val="4"/>
        <w:pageBreakBefore w:val="0"/>
      </w:pPr>
      <w:bookmarkStart w:id="24" w:name="_Toc3435"/>
      <w:r>
        <w:t>4.2 数据模型与发布快照</w:t>
      </w:r>
      <w:bookmarkEnd w:id="24"/>
    </w:p>
    <w:p w14:paraId="52D732B3">
      <w:pPr>
        <w:pStyle w:val="5"/>
        <w:pageBreakBefore w:val="0"/>
      </w:pPr>
      <w:bookmarkStart w:id="25" w:name="_Toc32628"/>
      <w:r>
        <w:t>4.2.1 主要业务实体</w:t>
      </w:r>
      <w:bookmarkEnd w:id="25"/>
    </w:p>
    <w:p w14:paraId="363CFA01">
      <w:pPr>
        <w:jc w:val="both"/>
      </w:pPr>
      <w:r>
        <w:t>数据模型围绕企业、计划参训任务和学习会话组织。一个企业包含多名用户和多辆车辆，用户以可空vehicle_id关联至多一辆本企业车辆，车辆可关联多名用户；该字段通过非唯一索引支持查询，未声明物理外键。一个计划分配给多名学员，形成任务并关联课程快照；任务产生学习会话和进度，会话包含事件与抽验任务，抽验任务可有零次或多次提交。考试记录关联试卷快照及答案。图4-2补充人员车辆关系，照片对象引用由表4-1说明。</w:t>
      </w:r>
    </w:p>
    <w:p w14:paraId="56DD8760">
      <w:pPr>
        <w:keepNext/>
        <w:ind w:firstLine="0"/>
        <w:jc w:val="center"/>
      </w:pPr>
      <w:r>
        <w:drawing>
          <wp:inline distT="0" distB="0" distL="114300" distR="114300">
            <wp:extent cx="5687695" cy="3071495"/>
            <wp:effectExtent l="0" t="0" r="8255" b="14605"/>
            <wp:docPr id="2" name="Picture 2" descr="核心实体的逻辑关联，不表示跨库外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核心实体的逻辑关联，不表示跨库外键"/>
                    <pic:cNvPicPr>
                      <a:picLocks noChangeAspect="1"/>
                    </pic:cNvPicPr>
                  </pic:nvPicPr>
                  <pic:blipFill>
                    <a:blip r:embed="rId13"/>
                    <a:stretch>
                      <a:fillRect/>
                    </a:stretch>
                  </pic:blipFill>
                  <pic:spPr>
                    <a:xfrm>
                      <a:off x="0" y="0"/>
                      <a:ext cx="5688000" cy="3071520"/>
                    </a:xfrm>
                    <a:prstGeom prst="rect">
                      <a:avLst/>
                    </a:prstGeom>
                  </pic:spPr>
                </pic:pic>
              </a:graphicData>
            </a:graphic>
          </wp:inline>
        </w:drawing>
      </w:r>
    </w:p>
    <w:p w14:paraId="0014148C">
      <w:pPr>
        <w:pStyle w:val="15"/>
        <w:keepNext w:val="0"/>
      </w:pPr>
      <w:r>
        <w:t>图4-2 核心业务实体逻辑关系</w:t>
      </w:r>
    </w:p>
    <w:p w14:paraId="705111FB">
      <w:pPr>
        <w:jc w:val="both"/>
      </w:pPr>
      <w:r>
        <w:t>跨服务关联采用逻辑标识，不建立跨库外键。这样可以保持数据库迁移在各自服务内执行，但对象归属和引用有效性必须由服务接口校验。图4-2表达逻辑关系，不能把连线理解为数据库已经声明物理外键。数据库的实际约束仍以各服务迁移脚本中的主键、索引和唯一键为准。</w:t>
      </w:r>
    </w:p>
    <w:p w14:paraId="609E9E4E">
      <w:pPr>
        <w:pStyle w:val="15"/>
      </w:pPr>
      <w:r>
        <w:t>表4-1 核心数据表及设计作用</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092B86A">
            <w:pPr>
              <w:keepNext/>
              <w:spacing w:before="40" w:after="40" w:line="300" w:lineRule="auto"/>
              <w:ind w:firstLine="0"/>
              <w:jc w:val="center"/>
            </w:pPr>
            <w:r>
              <w:rPr>
                <w:b/>
                <w:sz w:val="21"/>
              </w:rPr>
              <w:t>数据表</w:t>
            </w:r>
          </w:p>
        </w:tc>
        <w:tc>
          <w:tcPr>
            <w:tcW w:w="3175" w:type="dxa"/>
            <w:shd w:val="clear" w:color="auto" w:fill="F0F0F0"/>
            <w:vAlign w:val="center"/>
          </w:tcPr>
          <w:p w14:paraId="2012ABFE">
            <w:pPr>
              <w:keepNext/>
              <w:spacing w:before="40" w:after="40" w:line="300" w:lineRule="auto"/>
              <w:ind w:firstLine="0"/>
              <w:jc w:val="center"/>
            </w:pPr>
            <w:r>
              <w:rPr>
                <w:b/>
                <w:sz w:val="21"/>
              </w:rPr>
              <w:t>记录内容</w:t>
            </w:r>
          </w:p>
        </w:tc>
        <w:tc>
          <w:tcPr>
            <w:tcW w:w="3798" w:type="dxa"/>
            <w:shd w:val="clear" w:color="auto" w:fill="F0F0F0"/>
            <w:vAlign w:val="center"/>
          </w:tcPr>
          <w:p w14:paraId="343C290D">
            <w:pPr>
              <w:keepNext/>
              <w:spacing w:before="40" w:after="40" w:line="300" w:lineRule="auto"/>
              <w:ind w:firstLine="0"/>
              <w:jc w:val="center"/>
            </w:pPr>
            <w:r>
              <w:rPr>
                <w:b/>
                <w:sz w:val="21"/>
              </w:rPr>
              <w:t>关键设计作用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0B67163D">
            <w:pPr>
              <w:keepNext w:val="0"/>
              <w:spacing w:before="40" w:after="40" w:line="300" w:lineRule="auto"/>
              <w:ind w:firstLine="0"/>
              <w:jc w:val="left"/>
            </w:pPr>
            <w:r>
              <w:rPr>
                <w:sz w:val="21"/>
              </w:rPr>
              <w:t>train_plan_user</w:t>
            </w:r>
          </w:p>
        </w:tc>
        <w:tc>
          <w:tcPr>
            <w:tcW w:w="3175" w:type="dxa"/>
            <w:vAlign w:val="center"/>
          </w:tcPr>
          <w:p w14:paraId="79098821">
            <w:pPr>
              <w:keepNext w:val="0"/>
              <w:spacing w:before="40" w:after="40" w:line="300" w:lineRule="auto"/>
              <w:ind w:firstLine="0"/>
              <w:jc w:val="left"/>
            </w:pPr>
            <w:r>
              <w:rPr>
                <w:sz w:val="21"/>
              </w:rPr>
              <w:t>学员参训任务及结果状态</w:t>
            </w:r>
          </w:p>
        </w:tc>
        <w:tc>
          <w:tcPr>
            <w:tcW w:w="3798" w:type="dxa"/>
            <w:vAlign w:val="center"/>
          </w:tcPr>
          <w:p w14:paraId="450B9E11">
            <w:pPr>
              <w:keepNext w:val="0"/>
              <w:spacing w:before="40" w:after="40" w:line="300" w:lineRule="auto"/>
              <w:ind w:firstLine="0"/>
              <w:jc w:val="left"/>
            </w:pPr>
            <w:r>
              <w:rPr>
                <w:sz w:val="21"/>
              </w:rPr>
              <w:t>承接计划分配与完成投影</w:t>
            </w:r>
          </w:p>
        </w:tc>
      </w:tr>
      <w:tr w14:paraId="6EE4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70D57CC">
            <w:pPr>
              <w:keepNext w:val="0"/>
              <w:spacing w:before="40" w:after="40" w:line="300" w:lineRule="auto"/>
              <w:ind w:firstLine="0"/>
              <w:jc w:val="left"/>
            </w:pPr>
            <w:r>
              <w:rPr>
                <w:sz w:val="21"/>
              </w:rPr>
              <w:t>train_plan_course</w:t>
            </w:r>
          </w:p>
        </w:tc>
        <w:tc>
          <w:tcPr>
            <w:tcW w:w="3175" w:type="dxa"/>
            <w:vAlign w:val="center"/>
          </w:tcPr>
          <w:p w14:paraId="4E2B8EA1">
            <w:pPr>
              <w:keepNext w:val="0"/>
              <w:spacing w:before="40" w:after="40" w:line="300" w:lineRule="auto"/>
              <w:ind w:firstLine="0"/>
              <w:jc w:val="left"/>
            </w:pPr>
            <w:r>
              <w:rPr>
                <w:sz w:val="21"/>
              </w:rPr>
              <w:t>发布后的课程规则</w:t>
            </w:r>
          </w:p>
        </w:tc>
        <w:tc>
          <w:tcPr>
            <w:tcW w:w="3798" w:type="dxa"/>
            <w:vAlign w:val="center"/>
          </w:tcPr>
          <w:p w14:paraId="2E68572D">
            <w:pPr>
              <w:keepNext w:val="0"/>
              <w:spacing w:before="40" w:after="40" w:line="300" w:lineRule="auto"/>
              <w:ind w:firstLine="0"/>
              <w:jc w:val="left"/>
            </w:pPr>
            <w:r>
              <w:rPr>
                <w:sz w:val="21"/>
              </w:rPr>
              <w:t>保留任务采用的学习依据</w:t>
            </w:r>
          </w:p>
        </w:tc>
      </w:tr>
      <w:tr w14:paraId="05E425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27E5D1AE">
            <w:pPr>
              <w:keepNext w:val="0"/>
              <w:spacing w:before="40" w:after="40" w:line="300" w:lineRule="auto"/>
              <w:ind w:firstLine="0"/>
              <w:jc w:val="left"/>
            </w:pPr>
            <w:r>
              <w:rPr>
                <w:sz w:val="21"/>
              </w:rPr>
              <w:t>train_plan_courseware_snapshot</w:t>
            </w:r>
          </w:p>
        </w:tc>
        <w:tc>
          <w:tcPr>
            <w:tcW w:w="3175" w:type="dxa"/>
            <w:vAlign w:val="center"/>
          </w:tcPr>
          <w:p w14:paraId="55C1E012">
            <w:pPr>
              <w:keepNext w:val="0"/>
              <w:spacing w:before="40" w:after="40" w:line="300" w:lineRule="auto"/>
              <w:ind w:firstLine="0"/>
              <w:jc w:val="left"/>
            </w:pPr>
            <w:r>
              <w:rPr>
                <w:sz w:val="21"/>
              </w:rPr>
              <w:t>课件名称、时长及对象引用</w:t>
            </w:r>
          </w:p>
        </w:tc>
        <w:tc>
          <w:tcPr>
            <w:tcW w:w="3798" w:type="dxa"/>
            <w:vAlign w:val="center"/>
          </w:tcPr>
          <w:p w14:paraId="6CCD5395">
            <w:pPr>
              <w:keepNext w:val="0"/>
              <w:spacing w:before="40" w:after="40" w:line="300" w:lineRule="auto"/>
              <w:ind w:firstLine="0"/>
              <w:jc w:val="left"/>
            </w:pPr>
            <w:r>
              <w:rPr>
                <w:sz w:val="21"/>
              </w:rPr>
              <w:t>隔离基础课件后续修改</w:t>
            </w:r>
          </w:p>
        </w:tc>
      </w:tr>
      <w:tr w14:paraId="18153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471E811">
            <w:pPr>
              <w:keepNext w:val="0"/>
              <w:spacing w:before="40" w:after="40" w:line="300" w:lineRule="auto"/>
              <w:ind w:firstLine="0"/>
              <w:jc w:val="left"/>
            </w:pPr>
            <w:r>
              <w:rPr>
                <w:sz w:val="21"/>
              </w:rPr>
              <w:t>study_session</w:t>
            </w:r>
          </w:p>
        </w:tc>
        <w:tc>
          <w:tcPr>
            <w:tcW w:w="3175" w:type="dxa"/>
            <w:vAlign w:val="center"/>
          </w:tcPr>
          <w:p w14:paraId="4D87DFAC">
            <w:pPr>
              <w:keepNext w:val="0"/>
              <w:spacing w:before="40" w:after="40" w:line="300" w:lineRule="auto"/>
              <w:ind w:firstLine="0"/>
              <w:jc w:val="left"/>
            </w:pPr>
            <w:r>
              <w:rPr>
                <w:sz w:val="21"/>
              </w:rPr>
              <w:t>会话、当次核验凭据及签到签退照片引用</w:t>
            </w:r>
          </w:p>
        </w:tc>
        <w:tc>
          <w:tcPr>
            <w:tcW w:w="3798" w:type="dxa"/>
            <w:vAlign w:val="center"/>
          </w:tcPr>
          <w:p w14:paraId="6A49EC80">
            <w:pPr>
              <w:keepNext w:val="0"/>
              <w:spacing w:before="40" w:after="40" w:line="300" w:lineRule="auto"/>
              <w:ind w:firstLine="0"/>
              <w:jc w:val="left"/>
            </w:pPr>
            <w:r>
              <w:rPr>
                <w:sz w:val="21"/>
              </w:rPr>
              <w:t>约束动作、序号及有效期；事件受理后留档</w:t>
            </w:r>
          </w:p>
        </w:tc>
      </w:tr>
      <w:tr w14:paraId="1E94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7638332A">
            <w:pPr>
              <w:keepNext w:val="0"/>
              <w:spacing w:before="40" w:after="40" w:line="300" w:lineRule="auto"/>
              <w:ind w:firstLine="0"/>
              <w:jc w:val="left"/>
            </w:pPr>
            <w:r>
              <w:rPr>
                <w:sz w:val="21"/>
              </w:rPr>
              <w:t>study_progress</w:t>
            </w:r>
          </w:p>
        </w:tc>
        <w:tc>
          <w:tcPr>
            <w:tcW w:w="3175" w:type="dxa"/>
            <w:vAlign w:val="center"/>
          </w:tcPr>
          <w:p w14:paraId="0744ABF0">
            <w:pPr>
              <w:keepNext w:val="0"/>
              <w:spacing w:before="40" w:after="40" w:line="300" w:lineRule="auto"/>
              <w:ind w:firstLine="0"/>
              <w:jc w:val="left"/>
            </w:pPr>
            <w:r>
              <w:rPr>
                <w:sz w:val="21"/>
              </w:rPr>
              <w:t>已确认学时与课件进度</w:t>
            </w:r>
          </w:p>
        </w:tc>
        <w:tc>
          <w:tcPr>
            <w:tcW w:w="3798" w:type="dxa"/>
            <w:vAlign w:val="center"/>
          </w:tcPr>
          <w:p w14:paraId="0CDA400D">
            <w:pPr>
              <w:keepNext w:val="0"/>
              <w:spacing w:before="40" w:after="40" w:line="300" w:lineRule="auto"/>
              <w:ind w:firstLine="0"/>
              <w:jc w:val="left"/>
            </w:pPr>
            <w:r>
              <w:rPr>
                <w:sz w:val="21"/>
              </w:rPr>
              <w:t>为学习和档案提供累计事实</w:t>
            </w:r>
          </w:p>
        </w:tc>
      </w:tr>
      <w:tr w14:paraId="466AD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823BE2C">
            <w:pPr>
              <w:keepNext w:val="0"/>
              <w:spacing w:before="40" w:after="40" w:line="300" w:lineRule="auto"/>
              <w:ind w:firstLine="0"/>
              <w:jc w:val="left"/>
            </w:pPr>
            <w:r>
              <w:rPr>
                <w:sz w:val="21"/>
              </w:rPr>
              <w:t>study_event_log</w:t>
            </w:r>
          </w:p>
        </w:tc>
        <w:tc>
          <w:tcPr>
            <w:tcW w:w="3175" w:type="dxa"/>
            <w:vAlign w:val="center"/>
          </w:tcPr>
          <w:p w14:paraId="59B5B461">
            <w:pPr>
              <w:keepNext w:val="0"/>
              <w:spacing w:before="40" w:after="40" w:line="300" w:lineRule="auto"/>
              <w:ind w:firstLine="0"/>
              <w:jc w:val="left"/>
            </w:pPr>
            <w:r>
              <w:rPr>
                <w:sz w:val="21"/>
              </w:rPr>
              <w:t>已受理事件及处理结果</w:t>
            </w:r>
          </w:p>
        </w:tc>
        <w:tc>
          <w:tcPr>
            <w:tcW w:w="3798" w:type="dxa"/>
            <w:vAlign w:val="center"/>
          </w:tcPr>
          <w:p w14:paraId="3FC78C79">
            <w:pPr>
              <w:keepNext w:val="0"/>
              <w:spacing w:before="40" w:after="40" w:line="300" w:lineRule="auto"/>
              <w:ind w:firstLine="0"/>
              <w:jc w:val="left"/>
            </w:pPr>
            <w:r>
              <w:rPr>
                <w:sz w:val="21"/>
              </w:rPr>
              <w:t>支持幂等返回与过程追溯</w:t>
            </w:r>
          </w:p>
        </w:tc>
      </w:tr>
      <w:tr w14:paraId="2D3467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C793662">
            <w:pPr>
              <w:keepNext w:val="0"/>
              <w:spacing w:before="40" w:after="40" w:line="300" w:lineRule="auto"/>
              <w:ind w:firstLine="0"/>
              <w:jc w:val="left"/>
            </w:pPr>
            <w:r>
              <w:rPr>
                <w:sz w:val="21"/>
              </w:rPr>
              <w:t>face_check_task、face_check_log</w:t>
            </w:r>
          </w:p>
        </w:tc>
        <w:tc>
          <w:tcPr>
            <w:tcW w:w="3175" w:type="dxa"/>
            <w:vAlign w:val="center"/>
          </w:tcPr>
          <w:p w14:paraId="7D686F13">
            <w:pPr>
              <w:keepNext w:val="0"/>
              <w:spacing w:before="40" w:after="40" w:line="300" w:lineRule="auto"/>
              <w:ind w:firstLine="0"/>
              <w:jc w:val="left"/>
            </w:pPr>
            <w:r>
              <w:rPr>
                <w:sz w:val="21"/>
              </w:rPr>
              <w:t>抽验要求、实际提交及照片引用</w:t>
            </w:r>
          </w:p>
        </w:tc>
        <w:tc>
          <w:tcPr>
            <w:tcW w:w="3798" w:type="dxa"/>
            <w:vAlign w:val="center"/>
          </w:tcPr>
          <w:p w14:paraId="06D1DD68">
            <w:pPr>
              <w:keepNext w:val="0"/>
              <w:spacing w:before="40" w:after="40" w:line="300" w:lineRule="auto"/>
              <w:ind w:firstLine="0"/>
              <w:jc w:val="left"/>
            </w:pPr>
            <w:r>
              <w:rPr>
                <w:sz w:val="21"/>
              </w:rPr>
              <w:t>保留零提交超时；照片按权限预览</w:t>
            </w:r>
          </w:p>
        </w:tc>
      </w:tr>
      <w:tr w14:paraId="25237A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AC4E25C">
            <w:pPr>
              <w:keepNext w:val="0"/>
              <w:spacing w:before="40" w:after="40" w:line="300" w:lineRule="auto"/>
              <w:ind w:firstLine="0"/>
              <w:jc w:val="left"/>
            </w:pPr>
            <w:r>
              <w:rPr>
                <w:sz w:val="21"/>
              </w:rPr>
              <w:t>mq_outbox、mq_consume_log</w:t>
            </w:r>
          </w:p>
        </w:tc>
        <w:tc>
          <w:tcPr>
            <w:tcW w:w="3175" w:type="dxa"/>
            <w:vAlign w:val="center"/>
          </w:tcPr>
          <w:p w14:paraId="6CF625ED">
            <w:pPr>
              <w:keepNext w:val="0"/>
              <w:spacing w:before="40" w:after="40" w:line="300" w:lineRule="auto"/>
              <w:ind w:firstLine="0"/>
              <w:jc w:val="left"/>
            </w:pPr>
            <w:r>
              <w:rPr>
                <w:sz w:val="21"/>
              </w:rPr>
              <w:t>待发送事件与消费记录</w:t>
            </w:r>
          </w:p>
        </w:tc>
        <w:tc>
          <w:tcPr>
            <w:tcW w:w="3798" w:type="dxa"/>
            <w:vAlign w:val="center"/>
          </w:tcPr>
          <w:p w14:paraId="2BD58120">
            <w:pPr>
              <w:keepNext w:val="0"/>
              <w:spacing w:before="40" w:after="40" w:line="300" w:lineRule="auto"/>
              <w:ind w:firstLine="0"/>
              <w:jc w:val="left"/>
            </w:pPr>
            <w:r>
              <w:rPr>
                <w:sz w:val="21"/>
              </w:rPr>
              <w:t>支持重试和重复消费防护</w:t>
            </w:r>
          </w:p>
        </w:tc>
      </w:tr>
      <w:tr w14:paraId="1C533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B623641">
            <w:pPr>
              <w:keepNext w:val="0"/>
              <w:spacing w:before="40" w:after="40" w:line="300" w:lineRule="auto"/>
              <w:ind w:firstLine="0"/>
              <w:jc w:val="left"/>
            </w:pPr>
            <w:r>
              <w:rPr>
                <w:sz w:val="21"/>
              </w:rPr>
              <w:t>exam_record、exam_answer</w:t>
            </w:r>
          </w:p>
        </w:tc>
        <w:tc>
          <w:tcPr>
            <w:tcW w:w="3175" w:type="dxa"/>
            <w:vAlign w:val="center"/>
          </w:tcPr>
          <w:p w14:paraId="5828B797">
            <w:pPr>
              <w:keepNext w:val="0"/>
              <w:spacing w:before="40" w:after="40" w:line="300" w:lineRule="auto"/>
              <w:ind w:firstLine="0"/>
              <w:jc w:val="left"/>
            </w:pPr>
            <w:r>
              <w:rPr>
                <w:sz w:val="21"/>
              </w:rPr>
              <w:t>考试状态、答案及成绩</w:t>
            </w:r>
          </w:p>
        </w:tc>
        <w:tc>
          <w:tcPr>
            <w:tcW w:w="3798" w:type="dxa"/>
            <w:vAlign w:val="center"/>
          </w:tcPr>
          <w:p w14:paraId="2B8D5885">
            <w:pPr>
              <w:keepNext w:val="0"/>
              <w:spacing w:before="40" w:after="40" w:line="300" w:lineRule="auto"/>
              <w:ind w:firstLine="0"/>
              <w:jc w:val="left"/>
            </w:pPr>
            <w:r>
              <w:rPr>
                <w:sz w:val="21"/>
              </w:rPr>
              <w:t>保留服务端判分结果</w:t>
            </w:r>
          </w:p>
        </w:tc>
      </w:tr>
      <w:tr w14:paraId="025745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97F34B5">
            <w:pPr>
              <w:keepNext w:val="0"/>
              <w:spacing w:before="40" w:after="40" w:line="300" w:lineRule="auto"/>
              <w:ind w:firstLine="0"/>
              <w:jc w:val="left"/>
            </w:pPr>
            <w:r>
              <w:rPr>
                <w:sz w:val="21"/>
              </w:rPr>
              <w:t>sys_user、train_vehicle</w:t>
            </w:r>
          </w:p>
        </w:tc>
        <w:tc>
          <w:tcPr>
            <w:tcW w:w="3175" w:type="dxa"/>
            <w:vAlign w:val="center"/>
          </w:tcPr>
          <w:p w14:paraId="1B145008">
            <w:pPr>
              <w:keepNext w:val="0"/>
              <w:spacing w:before="40" w:after="40" w:line="300" w:lineRule="auto"/>
              <w:ind w:firstLine="0"/>
              <w:jc w:val="left"/>
            </w:pPr>
            <w:r>
              <w:rPr>
                <w:sz w:val="21"/>
              </w:rPr>
              <w:t>企业人员及可选车辆绑定</w:t>
            </w:r>
          </w:p>
        </w:tc>
        <w:tc>
          <w:tcPr>
            <w:tcW w:w="3798" w:type="dxa"/>
            <w:vAlign w:val="center"/>
          </w:tcPr>
          <w:p w14:paraId="10D51BB9">
            <w:pPr>
              <w:keepNext w:val="0"/>
              <w:spacing w:before="40" w:after="40" w:line="300" w:lineRule="auto"/>
              <w:ind w:firstLine="0"/>
              <w:jc w:val="left"/>
            </w:pPr>
            <w:r>
              <w:rPr>
                <w:sz w:val="21"/>
              </w:rPr>
              <w:t>每人至多一车，同车可多人；无物理外键</w:t>
            </w:r>
          </w:p>
        </w:tc>
      </w:tr>
      <w:tr w14:paraId="3E0FBC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E90088A">
            <w:pPr>
              <w:keepNext w:val="0"/>
              <w:spacing w:before="40" w:after="40" w:line="300" w:lineRule="auto"/>
              <w:ind w:firstLine="0"/>
              <w:jc w:val="left"/>
            </w:pPr>
            <w:r>
              <w:rPr>
                <w:sz w:val="21"/>
              </w:rPr>
              <w:t>train_storage_object</w:t>
            </w:r>
          </w:p>
        </w:tc>
        <w:tc>
          <w:tcPr>
            <w:tcW w:w="3175" w:type="dxa"/>
            <w:vAlign w:val="center"/>
          </w:tcPr>
          <w:p w14:paraId="136247E2">
            <w:pPr>
              <w:keepNext w:val="0"/>
              <w:spacing w:before="40" w:after="40" w:line="300" w:lineRule="auto"/>
              <w:ind w:firstLine="0"/>
              <w:jc w:val="left"/>
            </w:pPr>
            <w:r>
              <w:rPr>
                <w:sz w:val="21"/>
              </w:rPr>
              <w:t>私有照片元数据及所有者</w:t>
            </w:r>
          </w:p>
        </w:tc>
        <w:tc>
          <w:tcPr>
            <w:tcW w:w="3798" w:type="dxa"/>
            <w:vAlign w:val="center"/>
          </w:tcPr>
          <w:p w14:paraId="26717579">
            <w:pPr>
              <w:keepNext w:val="0"/>
              <w:spacing w:before="40" w:after="40" w:line="300" w:lineRule="auto"/>
              <w:ind w:firstLine="0"/>
              <w:jc w:val="left"/>
            </w:pPr>
            <w:r>
              <w:rPr>
                <w:sz w:val="21"/>
              </w:rPr>
              <w:t>平台本人照片可无企业；学习照按企业授权</w:t>
            </w:r>
          </w:p>
        </w:tc>
      </w:tr>
    </w:tbl>
    <w:p w14:paraId="11B48C75">
      <w:pPr>
        <w:spacing w:after="80" w:line="240" w:lineRule="auto"/>
      </w:pPr>
    </w:p>
    <w:p w14:paraId="6752DFDD">
      <w:pPr>
        <w:pStyle w:val="5"/>
        <w:pageBreakBefore w:val="0"/>
      </w:pPr>
      <w:bookmarkStart w:id="26" w:name="_Toc28365"/>
      <w:r>
        <w:t>4.2.2 快照与历史解释</w:t>
      </w:r>
      <w:bookmarkEnd w:id="26"/>
    </w:p>
    <w:p w14:paraId="7FA5720A">
      <w:pPr>
        <w:jc w:val="both"/>
      </w:pPr>
      <w:r>
        <w:t>直接引用当前课程和保存发布快照之间存在存储成本与历史稳定性的取舍。直接引用减少冗余，但管理员修改课程名称、规定时长或学习规则后，历史任务的展示可能随之变化。快照保存一份发布时使用的必要字段，使任务具有固定解释依据。项目选择后者，把快照形成与发布流程结合，而不把基础课程表兼作历史版本库。</w:t>
      </w:r>
    </w:p>
    <w:p w14:paraId="4B70D48E">
      <w:pPr>
        <w:jc w:val="both"/>
      </w:pPr>
      <w:r>
        <w:t>快照不能自动解决全部资源保留问题。数据库中保留对象引用，并不保证对应视频对象永远可用；若未来需要长期归档，还应建立对象保留周期、版本标识和删除约束。当前论文可以确认发布快照的实现与数据结构，但长期对象存储留存策略仍需结合实际运营要求完善。</w:t>
      </w:r>
    </w:p>
    <w:p w14:paraId="5BBAB851">
      <w:pPr>
        <w:pStyle w:val="5"/>
        <w:pageBreakBefore w:val="0"/>
      </w:pPr>
      <w:bookmarkStart w:id="27" w:name="_Toc9623"/>
      <w:r>
        <w:t>4.2.3 唯一性与删除约束</w:t>
      </w:r>
      <w:bookmarkEnd w:id="27"/>
    </w:p>
    <w:p w14:paraId="52005DCA">
      <w:pPr>
        <w:jc w:val="both"/>
      </w:pPr>
      <w:r>
        <w:t>幂等事件需要数据库唯一约束作为最后一道防线，防止并发请求都通过应用层检查后插入重复事实。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保留历史记录，当前没有车辆删除接口。车辆选项查询使用人员新增或编辑权限，车辆页另可分页查看绑定人员，不将两类操作混为同一授权入口。</w:t>
      </w:r>
    </w:p>
    <w:p w14:paraId="13FAE614">
      <w:pPr>
        <w:pStyle w:val="4"/>
        <w:pageBreakBefore w:val="0"/>
      </w:pPr>
      <w:bookmarkStart w:id="28" w:name="_Toc13097"/>
      <w:r>
        <w:t>4.3 学习消息处理流程</w:t>
      </w:r>
      <w:bookmarkEnd w:id="28"/>
    </w:p>
    <w:p w14:paraId="72B482BE">
      <w:pPr>
        <w:jc w:val="both"/>
      </w:pPr>
      <w:r>
        <w:t>学习消息处理按身份与会话绑定、幂等查询、序号检查、状态验证、学时计算、持久化和确认响应依次展开。幂等查询位于重复计算之前，已经成功处理的请求可以返回既有确认结果。序号检查防止旧事件改变当前进度，状态检查决定当前是否具备学习条件。只有通过相应条件后，才由计时组件计算允许增加的有效秒数。</w:t>
      </w:r>
    </w:p>
    <w:p w14:paraId="4947A1FD">
      <w:pPr>
        <w:keepNext/>
        <w:ind w:firstLine="0"/>
        <w:jc w:val="center"/>
      </w:pPr>
      <w:r>
        <w:drawing>
          <wp:inline distT="0" distB="0" distL="114300" distR="114300">
            <wp:extent cx="5687695" cy="3507105"/>
            <wp:effectExtent l="0" t="0" r="8255" b="17145"/>
            <wp:docPr id="3" name="Picture 3" descr="进度消息校验、事务保存与最终一致性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进度消息校验、事务保存与最终一致性流程"/>
                    <pic:cNvPicPr>
                      <a:picLocks noChangeAspect="1"/>
                    </pic:cNvPicPr>
                  </pic:nvPicPr>
                  <pic:blipFill>
                    <a:blip r:embed="rId14"/>
                    <a:stretch>
                      <a:fillRect/>
                    </a:stretch>
                  </pic:blipFill>
                  <pic:spPr>
                    <a:xfrm>
                      <a:off x="0" y="0"/>
                      <a:ext cx="5688000" cy="3507600"/>
                    </a:xfrm>
                    <a:prstGeom prst="rect">
                      <a:avLst/>
                    </a:prstGeom>
                  </pic:spPr>
                </pic:pic>
              </a:graphicData>
            </a:graphic>
          </wp:inline>
        </w:drawing>
      </w:r>
    </w:p>
    <w:p w14:paraId="6FA7F38E">
      <w:pPr>
        <w:pStyle w:val="15"/>
        <w:keepNext w:val="0"/>
      </w:pPr>
      <w:r>
        <w:t>图4-3 学习进度受理与结果同步流程</w:t>
      </w:r>
    </w:p>
    <w:p w14:paraId="689BBDAA">
      <w:pPr>
        <w:jc w:val="both"/>
      </w:pPr>
      <w:r>
        <w:t>消息响应区分协议受理和业务确认。ACK说明消息在协议层被受理，PROGRESS_CONFIRMED才携带服务端确认的学习结果；页面也可通过只读状态接口恢复当前值。实时信封seq按JSON数字序列化，业务Long标识仍采用字符串策略。首次绑定的总等待上限为30秒，重连不重新延长该期限；超时后提示重试。页面不能只在收到ACK后自行增加学时，确认结果才是累计值的依据。</w:t>
      </w:r>
    </w:p>
    <w:p w14:paraId="18BADAE8">
      <w:pPr>
        <w:jc w:val="both"/>
      </w:pPr>
      <w:r>
        <w:t>多标签页和断线重连可能产生不同连接同时操作同一学习对象的情况。服务端需要校验会话绑定并拒绝不符合当前会话状态的消息，前端配合暂停和状态同步。当前Realtime连接注册表使用进程内ConcurrentHashMap，Redis缓存授权信息而不承担跨实例连接注册。跨实例连接归属与互斥协调仍需进一步设计，不能根据单进程中的连接映射推断集群内已经全局互斥。</w:t>
      </w:r>
    </w:p>
    <w:p w14:paraId="718AD835">
      <w:pPr>
        <w:pStyle w:val="4"/>
        <w:pageBreakBefore w:val="0"/>
      </w:pPr>
      <w:bookmarkStart w:id="29" w:name="_Toc29523"/>
      <w:r>
        <w:t>4.4 抽验与考试状态设计</w:t>
      </w:r>
      <w:bookmarkEnd w:id="29"/>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30" w:name="_Toc15395"/>
      <w:r>
        <w:t>4.5 安全与只读查询设计</w:t>
      </w:r>
      <w:bookmarkEnd w:id="30"/>
    </w:p>
    <w:p w14:paraId="39B2F1BC">
      <w:pPr>
        <w:jc w:val="both"/>
      </w:pPr>
      <w:r>
        <w:t>企业隔离采用登录上下文而非客户端自报企业参数。服务端取得可信企业标识后，既在列表条件中限定范围，也在详情和修改操作中重新核验对象归属。列表查询安全并不能替代详情查询安全，因为用户可以绕开列表直接构造对象编号。学员接口则进一步确认对象与当前用户的任务分配关系。</w:t>
      </w:r>
    </w:p>
    <w:p w14:paraId="30890013">
      <w:pPr>
        <w:jc w:val="both"/>
      </w:pPr>
      <w:r>
        <w:t>历史档案使用专门的查询路径。查询先获得有权访问的已发布任务和快照，再读取当前页学时及成绩；不存在进度的课程补零显示，不触发生命周期刷新或考试初始化。本人任务列表也以发布快照汇总完整要求学时，缺少学习记录按零，汇总不创建进度；学习详情的进度入口则仍可初始化学习进度，不能将所有查询统称为只读。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不同于保存期限，统一到期清理策略仍需完善。签名地址不得进入公开截图或日志。</w:t>
      </w:r>
    </w:p>
    <w:p w14:paraId="35DB5B27">
      <w:pPr>
        <w:pStyle w:val="3"/>
        <w:pageBreakBefore/>
      </w:pPr>
      <w:bookmarkStart w:id="31" w:name="_Toc14838"/>
      <w:r>
        <w:t>5 系统实现</w:t>
      </w:r>
      <w:bookmarkEnd w:id="31"/>
    </w:p>
    <w:p w14:paraId="72ED2B8D">
      <w:pPr>
        <w:pStyle w:val="4"/>
        <w:pageBreakBefore w:val="0"/>
      </w:pPr>
      <w:bookmarkStart w:id="32" w:name="_Toc6950"/>
      <w:r>
        <w:t>5.1 工程组织与基础管理实现</w:t>
      </w:r>
      <w:bookmarkEnd w:id="32"/>
    </w:p>
    <w:p w14:paraId="41BE84B5">
      <w:pPr>
        <w:jc w:val="both"/>
      </w:pPr>
      <w:r>
        <w:t>后端聚合工程包含依赖管理、公共组件、RPC接口及各服务应用。管理、培训和学习服务分别维护Flyway迁移目录，避免一个服务直接修改另一个服务的表。前端按页面和业务接口组织管理端与学员端功能，登录后的菜单受角色权限约束，接口访问仍由后端校验。共同返回结构保持一致，使页面能够统一处理业务失败与数据返回。</w:t>
      </w:r>
    </w:p>
    <w:p w14:paraId="54E3BF7E">
      <w:pPr>
        <w:jc w:val="both"/>
      </w:pPr>
      <w:r>
        <w:t>基础管理的实现重点在于组织归属及引用约束。新增或调整人员时，服务核验企业、部门和可选车辆关系；车辆操作校验车牌唯一性及部门有效性。本人资料接口只允许修改姓名、手机号，不接受他人标识或权限字段，个人菜单还提供登记照维护入口。无企业归属的平台管理员可维护本人登记照，对象按所有者隔离；操作他人仍按管理权限及企业归属校验。历史真实接口验收已验证跨企业车辆修改被拒绝，新增绑定和个人资料能力的验证状态另行记录。</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调整顺序，防止安全链空上下文覆盖握手身份，连接随后完成学习会话绑定。本机演示采用HTTP和WS，TLS终止、HTTPS摄像头安全上下文与WSS部署仍需环境验证。</w:t>
      </w:r>
    </w:p>
    <w:p w14:paraId="42D1A49C">
      <w:pPr>
        <w:pStyle w:val="4"/>
        <w:pageBreakBefore w:val="0"/>
      </w:pPr>
      <w:bookmarkStart w:id="33" w:name="_Toc32074"/>
      <w:r>
        <w:t>5.2 课程资源与计划实现</w:t>
      </w:r>
      <w:bookmarkEnd w:id="33"/>
    </w:p>
    <w:p w14:paraId="379000BC">
      <w:pPr>
        <w:jc w:val="both"/>
      </w:pPr>
      <w:r>
        <w:t>课程管理把媒体元数据与大文件传输分离。浏览器请求上传授权后直传私有OSS，培训服务负责授权生成和完成校验，再保存课件元数据。播放时按任务和资源访问条件取得短期地址，浏览器通过范围请求读取视频。这样的链路需要同时验证后端授权、存储CORS、资源响应和浏览器解码，单独生成一个可以播放的本地视频只能验证其中最后一部分。</w:t>
      </w:r>
    </w:p>
    <w:p w14:paraId="6514DA84">
      <w:pPr>
        <w:jc w:val="both"/>
      </w:pPr>
      <w:r>
        <w:t>计划发布将课程和课件规则复制为快照，并创建独立保存学习、考试和完成状态的参训任务，基础课程后续修改不回写快照。自然日周期仍使用日期时间字段，未设置批量回写历史计划的迁移；播放授权采用now &lt; endAt，因此不将结束日23:59:59之后的小数秒描述为仍可播放。学员课程目录和要求学时来源于本人任务的发布快照，档案中的未学习课程补零显示，无需提前插入学习累计行。</w:t>
      </w:r>
    </w:p>
    <w:p w14:paraId="73F45566">
      <w:pPr>
        <w:jc w:val="both"/>
      </w:pPr>
      <w:r>
        <w:t>考试相关的题库、试卷和题目快照属于培训服务。试卷维护与发布任务的考核依据分开，减少题目调整对既有考试的影响。当前系统支持两种计划完成模式，本文不扩展为报名缴费、电子证书签发或培训资质审批平台。这一范围限定使实现与论文目标保持一致，也为后续测试提供可控边界。</w:t>
      </w:r>
    </w:p>
    <w:p w14:paraId="45B4F56A">
      <w:pPr>
        <w:pStyle w:val="4"/>
        <w:pageBreakBefore w:val="0"/>
      </w:pPr>
      <w:bookmarkStart w:id="34" w:name="_Toc17588"/>
      <w:r>
        <w:t>5.3 有效学时与补学实现</w:t>
      </w:r>
      <w:bookmarkEnd w:id="34"/>
    </w:p>
    <w:p w14:paraId="2E1A3ACC">
      <w:pPr>
        <w:jc w:val="both"/>
      </w:pPr>
      <w:r>
        <w:t>有效学时计算由LearningTimeCalculator承担，LearningSessionServiceImpl负责围绕当前会话调用计算器并组织状态更新。计算器接收时间差、播放位置变化、允许间隔和剩余要求，返回本次可计入量或拒绝原因。业务服务在更新进度时同时保存受理事件，使某个累计结果能够回溯到对应请求。只有计时组件返回合法结果，并满足持久化条件后，页面才得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项目为此加入从头补学入口。补学重置已完成课件的当前位置，保留累计学时、完成标记和最高确认位置，随后仍按正常进度规则计时。PLAY事件本身不增加学时，也不因点击补学按钮直接填平差额。该修复回应保守累计带来的实际状态组合，而不通过放宽计时规则掩盖差额。浏览器真实视频在何种网络条件下产生多大差额，仍需后续实验测量。</w:t>
      </w:r>
    </w:p>
    <w:p w14:paraId="573E0D52">
      <w:pPr>
        <w:jc w:val="both"/>
      </w:pPr>
      <w:r>
        <w:t>学时规则对异常具有防护作用，但其证明能力有限。媒体位置与服务端时间均符合条件，只能说明某段上报满足当前规则，不能证明学员一直注视屏幕或理解课程。人脸抽验和考试分别补充身份与知识掌握方面的观察，三类记录仍不应被合并为一个未经验证的“真实学习率”。</w:t>
      </w:r>
    </w:p>
    <w:p w14:paraId="258FBCD6">
      <w:pPr>
        <w:pStyle w:val="4"/>
        <w:pageBreakBefore w:val="0"/>
      </w:pPr>
      <w:bookmarkStart w:id="35" w:name="_Toc26659"/>
      <w:r>
        <w:t>5.4 幂等与异步结果实现</w:t>
      </w:r>
      <w:bookmarkEnd w:id="35"/>
    </w:p>
    <w:p w14:paraId="3F50B459">
      <w:pPr>
        <w:jc w:val="both"/>
      </w:pPr>
      <w:r>
        <w:t>每个学习请求具有可识别的请求标识，同一请求再次到达时优先读取已保存结果。事件序号用于判断新旧关系，数据库唯一键防止并发重复写入。上述机制共同保护累计结果：请求标识解决重试重复，序号处理顺序变化，唯一约束处理应用检查与落库之间的竞争。任何单一机制都不能完整替代另外两者。</w:t>
      </w:r>
    </w:p>
    <w:p w14:paraId="5D964E9D">
      <w:pPr>
        <w:jc w:val="both"/>
      </w:pPr>
      <w:r>
        <w:t>学习状态更新与Outbox记录写入同一事务。发送器读取待发送事件，向RabbitMQ发布，并结合确认和退回结果更新发送状态。已有验收发现，仅根据Broker ACK标记SENT会遗漏“消息被代理接收但没有队列可路由”的情况；修复后同时检查NO_ROUTE退回，使此类事件保持可恢复状态。真实Broker实验先构造无队列路由，再补齐临时队列和重建发送器，验证恢复后能够收到事件。</w:t>
      </w:r>
    </w:p>
    <w:p w14:paraId="041CFF6A">
      <w:pPr>
        <w:jc w:val="both"/>
      </w:pPr>
      <w:r>
        <w:t>消费端通过事件标识识别重复投递，并根据当前任务状态处理迟到事件。例如任务已经完成后才收到较早的开始事件，状态不能回退为进行中。消息投递采用可重试方式意味着重复到达是应被正常处理的输入，而非偶然例外。系统由此实现的是带幂等消费的最终一致性，不是跨库同时提交，也不是消息物理上只发送一次。</w:t>
      </w:r>
    </w:p>
    <w:p w14:paraId="33B393AC">
      <w:pPr>
        <w:pStyle w:val="4"/>
        <w:pageBreakBefore w:val="0"/>
      </w:pPr>
      <w:bookmarkStart w:id="36" w:name="_Toc1861"/>
      <w:r>
        <w:t>5.5 抽验与考试实现</w:t>
      </w:r>
      <w:bookmarkEnd w:id="36"/>
    </w:p>
    <w:p w14:paraId="16F4B1F6">
      <w:pPr>
        <w:jc w:val="both"/>
      </w:pPr>
      <w:r>
        <w:t>FaceCheckServiceImpl管理抽验任务、提交日志和签到签退核验，模型适配器提供人脸检测及相似度计算。学习页面通过摄像头采集照片，关闭、卸载或迟到请求结束时释放设备；登记照另可选图上传。签到签退照片先保存待消费引用，只有对应事件通过凭据检查后才写入正式会话档案，抽验提交保存照片对象引用。私有预览失败或历史无照片时按缺失状态展示，不视为已留存证据。测试替身可验证流程，不能据此计算真人识别准确率或证明活体检测能力。</w:t>
      </w:r>
    </w:p>
    <w:p w14:paraId="26224112">
      <w:pPr>
        <w:jc w:val="both"/>
      </w:pPr>
      <w:r>
        <w:t>目前人脸模型已具备本机接入条件，实际的同人不同照、不同人和多人图像验收仍需授权照片。重复使用同一张图片比较只能检查模型调用是否正常，不能评价真实身份核验效果。活体检测、照片翻拍攻击、复杂光照和遮挡下的表现尚未获得本文可引用的实测结果，均纳入后续验证范围。</w:t>
      </w:r>
    </w:p>
    <w:p w14:paraId="7408F4C6">
      <w:pPr>
        <w:jc w:val="both"/>
      </w:pPr>
      <w:r>
        <w:t>考试服务维护服务端截止时间、答案和判分结果，在开始或继续进行中的考试前检查学习完成，保留已交卷结果查询。前端串行保存答案，最终交卷由后端判定是否仍可处理；成绩查询不启动考试。学习完成且考试及格才满足考核模式的个人结业条件。首页“待考试”筛选目前仍按考试状态和计划有效期统计，未加入学习完成条件，因此该数值不能解释为当前可参加考试的任务数。</w:t>
      </w:r>
    </w:p>
    <w:p w14:paraId="6BB29306">
      <w:pPr>
        <w:pStyle w:val="4"/>
        <w:pageBreakBefore w:val="0"/>
      </w:pPr>
      <w:bookmarkStart w:id="37" w:name="_Toc27199"/>
      <w:r>
        <w:t>5.6 档案聚合与界面交互实现</w:t>
      </w:r>
      <w:bookmarkEnd w:id="37"/>
    </w:p>
    <w:p w14:paraId="764E5B74">
      <w:pPr>
        <w:jc w:val="both"/>
      </w:pPr>
      <w:r>
        <w:t>TrainingRecordController面向学员和管理员组织历史档案。列表先读取任务，再批量查询本页对应学时，详情以发布快照列出课程，缺少进度时补零。查询已结束计划不调用学习入口的初始化逻辑。这个实现解决了原学习操作入口与历史查询目的不同的问题，使“还能否继续学习”和“能否查看记录”分别判断。</w:t>
      </w:r>
    </w:p>
    <w:p w14:paraId="4351DE1F">
      <w:pPr>
        <w:jc w:val="both"/>
      </w:pPr>
      <w:r>
        <w:t>管理员从任务详情逐层查看课程、会话与抽验，零次提交仍保留任务，并可按权限预览已有照片。任务列表汇总要求学时与有效学时，详情分别展示课程有效学时和视频最高确认位置，时长到秒、百分比限制在0～100；位置进度达到100%不替代服务端结业状态。工作区标签按路径保留访问入口及最近查询参数，支持关闭操作，但不缓存组件状态；试卷改用独立详情页。上述页面调整不改变权限和学时计算规则。</w:t>
      </w:r>
    </w:p>
    <w:p w14:paraId="0931C58E">
      <w:pPr>
        <w:jc w:val="both"/>
      </w:pPr>
      <w:r>
        <w:t>播放器串行处理课件切换并忽略旧请求、旧播放器事件，只有连接和状态允许时才尝试自动播放下一课件，断线、抽验或页面隐藏会中断衔接。独立抽验查询只返回待处理任务，已终止会话的状态响应可附带最近失败或超时结果，页面据此恢复提示，不自行猜测超时原因。UI夹具可验证交互边界，但不能证明真实媒体闭环；本文沿用功能说明和验证表，不将模拟成绩作为企业真实培训成果。</w:t>
      </w:r>
    </w:p>
    <w:p w14:paraId="792D4ECE">
      <w:pPr>
        <w:pStyle w:val="3"/>
        <w:pageBreakBefore/>
      </w:pPr>
      <w:bookmarkStart w:id="38" w:name="_Toc10782"/>
      <w:r>
        <w:t>6 测试与结果分析</w:t>
      </w:r>
      <w:bookmarkEnd w:id="38"/>
    </w:p>
    <w:p w14:paraId="346ABCEF">
      <w:pPr>
        <w:pStyle w:val="4"/>
        <w:pageBreakBefore w:val="0"/>
      </w:pPr>
      <w:bookmarkStart w:id="39" w:name="_Toc29264"/>
      <w:r>
        <w:t>6.1 验证设计与数据来源</w:t>
      </w:r>
      <w:bookmarkEnd w:id="39"/>
    </w:p>
    <w:p w14:paraId="58822C06">
      <w:pPr>
        <w:jc w:val="both"/>
      </w:pPr>
      <w:r>
        <w:t>测试围绕需求中的风险点选择层次。纯领域测试适合输入确定的时间和位置组合，检查学时公式、重复请求及截止规则；MySQL集成测试验证迁移、索引、数据范围和事务行为；RabbitMQ实验检查发布确认及路由恢复；浏览器契约测试检查页面与接口约定；真实接口回归验证网关、认证和业务服务组合。真实视频学习还需要独立的媒体实验，不能被前述层次替代。</w:t>
      </w:r>
    </w:p>
    <w:p w14:paraId="75EE1A64">
      <w:pPr>
        <w:jc w:val="both"/>
      </w:pPr>
      <w:r>
        <w:t>本文测试结果取自2026年9月7日至9日存档材料。后端CI对应fcbb506，前端对应7ca2f94；记录说明两次提交之间前端源码与工作流没有变化。实现说明已增量核对至9月13日96a8d84，该版本的新增或修改测试未在本次执行，不并入历史通过数量。本文保留执行版本与环境差异，不把静态核查描述为新版本验收。</w:t>
      </w:r>
    </w:p>
    <w:p w14:paraId="2EB0D0D3">
      <w:pPr>
        <w:jc w:val="both"/>
      </w:pPr>
      <w:r>
        <w:t>CI后端使用JDK 17，并在具有Docker条件的环境中执行Testcontainers集成测试。本机演示环境使用Windows、浏览器与单实例服务，数据库、消息代理和对象存储条件按各实验记录确定。测试账号和培训数据为演示数据，不代表随机抽样的运输企业或真实学员总体。当前结果可以分析程序规则与组件行为，不能推断实际岗位培训效果。</w:t>
      </w:r>
    </w:p>
    <w:p w14:paraId="3091DC53">
      <w:pPr>
        <w:pStyle w:val="4"/>
        <w:pageBreakBefore w:val="0"/>
      </w:pPr>
      <w:bookmarkStart w:id="40" w:name="_Toc31674"/>
      <w:r>
        <w:t>6.2 自动化测试结果</w:t>
      </w:r>
      <w:bookmarkEnd w:id="40"/>
    </w:p>
    <w:p w14:paraId="6D033F46">
      <w:pPr>
        <w:jc w:val="both"/>
      </w:pPr>
      <w:r>
        <w:t>表6-1列出9月9日存档结果，适用版本见6.1节。数据库与RabbitMQ项目是后端210项中的子集；前端单元、条件守卫和UI契约分别计数，不与后端相加构造“系统通过率”。条件跳过表示实验依赖未满足，既不是通过，也不直接等同于程序失败。</w:t>
      </w:r>
    </w:p>
    <w:p w14:paraId="326341F0">
      <w:pPr>
        <w:pStyle w:val="15"/>
      </w:pPr>
      <w:r>
        <w:t>表6-1 2026年9月9日自动化验证记录</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02266DC6">
            <w:pPr>
              <w:keepNext/>
              <w:spacing w:before="40" w:after="40" w:line="300" w:lineRule="auto"/>
              <w:ind w:firstLine="0"/>
              <w:jc w:val="center"/>
            </w:pPr>
            <w:r>
              <w:rPr>
                <w:b/>
                <w:sz w:val="21"/>
              </w:rPr>
              <w:t>验证类别</w:t>
            </w:r>
          </w:p>
        </w:tc>
        <w:tc>
          <w:tcPr>
            <w:tcW w:w="1020" w:type="dxa"/>
            <w:shd w:val="clear" w:color="auto" w:fill="F0F0F0"/>
            <w:vAlign w:val="center"/>
          </w:tcPr>
          <w:p w14:paraId="2E0DF014">
            <w:pPr>
              <w:keepNext/>
              <w:spacing w:before="40" w:after="40" w:line="300" w:lineRule="auto"/>
              <w:ind w:firstLine="0"/>
              <w:jc w:val="center"/>
            </w:pPr>
            <w:r>
              <w:rPr>
                <w:b/>
                <w:sz w:val="21"/>
              </w:rPr>
              <w:t>总项数</w:t>
            </w:r>
          </w:p>
        </w:tc>
        <w:tc>
          <w:tcPr>
            <w:tcW w:w="1020" w:type="dxa"/>
            <w:shd w:val="clear" w:color="auto" w:fill="F0F0F0"/>
            <w:vAlign w:val="center"/>
          </w:tcPr>
          <w:p w14:paraId="73E793D5">
            <w:pPr>
              <w:keepNext/>
              <w:spacing w:before="40" w:after="40" w:line="300" w:lineRule="auto"/>
              <w:ind w:firstLine="0"/>
              <w:jc w:val="center"/>
            </w:pPr>
            <w:r>
              <w:rPr>
                <w:b/>
                <w:sz w:val="21"/>
              </w:rPr>
              <w:t>通过</w:t>
            </w:r>
          </w:p>
        </w:tc>
        <w:tc>
          <w:tcPr>
            <w:tcW w:w="1020" w:type="dxa"/>
            <w:shd w:val="clear" w:color="auto" w:fill="F0F0F0"/>
            <w:vAlign w:val="center"/>
          </w:tcPr>
          <w:p w14:paraId="4047A648">
            <w:pPr>
              <w:keepNext/>
              <w:spacing w:before="40" w:after="40" w:line="300" w:lineRule="auto"/>
              <w:ind w:firstLine="0"/>
              <w:jc w:val="center"/>
            </w:pPr>
            <w:r>
              <w:rPr>
                <w:b/>
                <w:sz w:val="21"/>
              </w:rPr>
              <w:t>跳过</w:t>
            </w:r>
          </w:p>
        </w:tc>
        <w:tc>
          <w:tcPr>
            <w:tcW w:w="3288" w:type="dxa"/>
            <w:shd w:val="clear" w:color="auto" w:fill="F0F0F0"/>
            <w:vAlign w:val="center"/>
          </w:tcPr>
          <w:p w14:paraId="0750AB5A">
            <w:pPr>
              <w:keepNext/>
              <w:spacing w:before="40" w:after="40" w:line="300" w:lineRule="auto"/>
              <w:ind w:firstLine="0"/>
              <w:jc w:val="center"/>
            </w:pPr>
            <w:r>
              <w:rPr>
                <w:b/>
                <w:sz w:val="21"/>
              </w:rPr>
              <w:t>结论范围</w:t>
            </w:r>
          </w:p>
        </w:tc>
      </w:tr>
      <w:tr w14:paraId="30795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680DB6D5">
            <w:pPr>
              <w:keepNext w:val="0"/>
              <w:spacing w:before="40" w:after="40" w:line="300" w:lineRule="auto"/>
              <w:ind w:firstLine="0"/>
              <w:jc w:val="left"/>
            </w:pPr>
            <w:r>
              <w:rPr>
                <w:sz w:val="21"/>
              </w:rPr>
              <w:t>后端全量CI</w:t>
            </w:r>
          </w:p>
        </w:tc>
        <w:tc>
          <w:tcPr>
            <w:tcW w:w="1020" w:type="dxa"/>
            <w:vAlign w:val="center"/>
          </w:tcPr>
          <w:p w14:paraId="50A25080">
            <w:pPr>
              <w:keepNext w:val="0"/>
              <w:spacing w:before="40" w:after="40" w:line="300" w:lineRule="auto"/>
              <w:ind w:firstLine="0"/>
              <w:jc w:val="center"/>
            </w:pPr>
            <w:r>
              <w:rPr>
                <w:sz w:val="21"/>
              </w:rPr>
              <w:t>210</w:t>
            </w:r>
          </w:p>
        </w:tc>
        <w:tc>
          <w:tcPr>
            <w:tcW w:w="1020" w:type="dxa"/>
            <w:vAlign w:val="center"/>
          </w:tcPr>
          <w:p w14:paraId="34E4D413">
            <w:pPr>
              <w:keepNext w:val="0"/>
              <w:spacing w:before="40" w:after="40" w:line="300" w:lineRule="auto"/>
              <w:ind w:firstLine="0"/>
              <w:jc w:val="center"/>
            </w:pPr>
            <w:r>
              <w:rPr>
                <w:sz w:val="21"/>
              </w:rPr>
              <w:t>208</w:t>
            </w:r>
          </w:p>
        </w:tc>
        <w:tc>
          <w:tcPr>
            <w:tcW w:w="1020" w:type="dxa"/>
            <w:vAlign w:val="center"/>
          </w:tcPr>
          <w:p w14:paraId="6FB8BA19">
            <w:pPr>
              <w:keepNext w:val="0"/>
              <w:spacing w:before="40" w:after="40" w:line="300" w:lineRule="auto"/>
              <w:ind w:firstLine="0"/>
              <w:jc w:val="center"/>
            </w:pPr>
            <w:r>
              <w:rPr>
                <w:sz w:val="21"/>
              </w:rPr>
              <w:t>2</w:t>
            </w:r>
          </w:p>
        </w:tc>
        <w:tc>
          <w:tcPr>
            <w:tcW w:w="3288" w:type="dxa"/>
            <w:vAlign w:val="center"/>
          </w:tcPr>
          <w:p w14:paraId="7042ECA6">
            <w:pPr>
              <w:keepNext w:val="0"/>
              <w:spacing w:before="40" w:after="40" w:line="300" w:lineRule="auto"/>
              <w:ind w:firstLine="0"/>
              <w:jc w:val="left"/>
            </w:pPr>
            <w:r>
              <w:rPr>
                <w:sz w:val="21"/>
              </w:rPr>
              <w:t>58个测试类，失败和错误均为0</w:t>
            </w:r>
          </w:p>
        </w:tc>
      </w:tr>
      <w:tr w14:paraId="5952C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6C0974C">
            <w:pPr>
              <w:keepNext w:val="0"/>
              <w:spacing w:before="40" w:after="40" w:line="300" w:lineRule="auto"/>
              <w:ind w:firstLine="0"/>
              <w:jc w:val="left"/>
            </w:pPr>
            <w:r>
              <w:rPr>
                <w:sz w:val="21"/>
              </w:rPr>
              <w:t>管理库MySQL测试</w:t>
            </w:r>
          </w:p>
        </w:tc>
        <w:tc>
          <w:tcPr>
            <w:tcW w:w="1020" w:type="dxa"/>
            <w:vAlign w:val="center"/>
          </w:tcPr>
          <w:p w14:paraId="438B0FEC">
            <w:pPr>
              <w:keepNext w:val="0"/>
              <w:spacing w:before="40" w:after="40" w:line="300" w:lineRule="auto"/>
              <w:ind w:firstLine="0"/>
              <w:jc w:val="center"/>
            </w:pPr>
            <w:r>
              <w:rPr>
                <w:sz w:val="21"/>
              </w:rPr>
              <w:t>8</w:t>
            </w:r>
          </w:p>
        </w:tc>
        <w:tc>
          <w:tcPr>
            <w:tcW w:w="1020" w:type="dxa"/>
            <w:vAlign w:val="center"/>
          </w:tcPr>
          <w:p w14:paraId="241C9F24">
            <w:pPr>
              <w:keepNext w:val="0"/>
              <w:spacing w:before="40" w:after="40" w:line="300" w:lineRule="auto"/>
              <w:ind w:firstLine="0"/>
              <w:jc w:val="center"/>
            </w:pPr>
            <w:r>
              <w:rPr>
                <w:sz w:val="21"/>
              </w:rPr>
              <w:t>8</w:t>
            </w:r>
          </w:p>
        </w:tc>
        <w:tc>
          <w:tcPr>
            <w:tcW w:w="1020" w:type="dxa"/>
            <w:vAlign w:val="center"/>
          </w:tcPr>
          <w:p w14:paraId="244489C7">
            <w:pPr>
              <w:keepNext w:val="0"/>
              <w:spacing w:before="40" w:after="40" w:line="300" w:lineRule="auto"/>
              <w:ind w:firstLine="0"/>
              <w:jc w:val="center"/>
            </w:pPr>
            <w:r>
              <w:rPr>
                <w:sz w:val="21"/>
              </w:rPr>
              <w:t>0</w:t>
            </w:r>
          </w:p>
        </w:tc>
        <w:tc>
          <w:tcPr>
            <w:tcW w:w="3288" w:type="dxa"/>
            <w:vAlign w:val="center"/>
          </w:tcPr>
          <w:p w14:paraId="4D3688F2">
            <w:pPr>
              <w:keepNext w:val="0"/>
              <w:spacing w:before="40" w:after="40" w:line="300" w:lineRule="auto"/>
              <w:ind w:firstLine="0"/>
              <w:jc w:val="left"/>
            </w:pPr>
            <w:r>
              <w:rPr>
                <w:sz w:val="21"/>
              </w:rPr>
              <w:t>后端子集，含隔离和多表回滚</w:t>
            </w:r>
          </w:p>
        </w:tc>
      </w:tr>
      <w:tr w14:paraId="5EBF4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595558C">
            <w:pPr>
              <w:keepNext w:val="0"/>
              <w:spacing w:before="40" w:after="40" w:line="300" w:lineRule="auto"/>
              <w:ind w:firstLine="0"/>
              <w:jc w:val="left"/>
            </w:pPr>
            <w:r>
              <w:rPr>
                <w:sz w:val="21"/>
              </w:rPr>
              <w:t>培训库MySQL测试</w:t>
            </w:r>
          </w:p>
        </w:tc>
        <w:tc>
          <w:tcPr>
            <w:tcW w:w="1020" w:type="dxa"/>
            <w:vAlign w:val="center"/>
          </w:tcPr>
          <w:p w14:paraId="33CC5F71">
            <w:pPr>
              <w:keepNext w:val="0"/>
              <w:spacing w:before="40" w:after="40" w:line="300" w:lineRule="auto"/>
              <w:ind w:firstLine="0"/>
              <w:jc w:val="center"/>
            </w:pPr>
            <w:r>
              <w:rPr>
                <w:sz w:val="21"/>
              </w:rPr>
              <w:t>2</w:t>
            </w:r>
          </w:p>
        </w:tc>
        <w:tc>
          <w:tcPr>
            <w:tcW w:w="1020" w:type="dxa"/>
            <w:vAlign w:val="center"/>
          </w:tcPr>
          <w:p w14:paraId="6AC7D7BA">
            <w:pPr>
              <w:keepNext w:val="0"/>
              <w:spacing w:before="40" w:after="40" w:line="300" w:lineRule="auto"/>
              <w:ind w:firstLine="0"/>
              <w:jc w:val="center"/>
            </w:pPr>
            <w:r>
              <w:rPr>
                <w:sz w:val="21"/>
              </w:rPr>
              <w:t>2</w:t>
            </w:r>
          </w:p>
        </w:tc>
        <w:tc>
          <w:tcPr>
            <w:tcW w:w="1020" w:type="dxa"/>
            <w:vAlign w:val="center"/>
          </w:tcPr>
          <w:p w14:paraId="7C045502">
            <w:pPr>
              <w:keepNext w:val="0"/>
              <w:spacing w:before="40" w:after="40" w:line="300" w:lineRule="auto"/>
              <w:ind w:firstLine="0"/>
              <w:jc w:val="center"/>
            </w:pPr>
            <w:r>
              <w:rPr>
                <w:sz w:val="21"/>
              </w:rPr>
              <w:t>0</w:t>
            </w:r>
          </w:p>
        </w:tc>
        <w:tc>
          <w:tcPr>
            <w:tcW w:w="3288" w:type="dxa"/>
            <w:vAlign w:val="center"/>
          </w:tcPr>
          <w:p w14:paraId="6DAF9634">
            <w:pPr>
              <w:keepNext w:val="0"/>
              <w:spacing w:before="40" w:after="40" w:line="300" w:lineRule="auto"/>
              <w:ind w:firstLine="0"/>
              <w:jc w:val="left"/>
            </w:pPr>
            <w:r>
              <w:rPr>
                <w:sz w:val="21"/>
              </w:rPr>
              <w:t>后端子集，含迁移、索引和隔离</w:t>
            </w:r>
          </w:p>
        </w:tc>
      </w:tr>
      <w:tr w14:paraId="0BB2F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B3E7D6B">
            <w:pPr>
              <w:keepNext w:val="0"/>
              <w:spacing w:before="40" w:after="40" w:line="300" w:lineRule="auto"/>
              <w:ind w:firstLine="0"/>
              <w:jc w:val="left"/>
            </w:pPr>
            <w:r>
              <w:rPr>
                <w:sz w:val="21"/>
              </w:rPr>
              <w:t>学习库MySQL测试</w:t>
            </w:r>
          </w:p>
        </w:tc>
        <w:tc>
          <w:tcPr>
            <w:tcW w:w="1020" w:type="dxa"/>
            <w:vAlign w:val="center"/>
          </w:tcPr>
          <w:p w14:paraId="7E9817CA">
            <w:pPr>
              <w:keepNext w:val="0"/>
              <w:spacing w:before="40" w:after="40" w:line="300" w:lineRule="auto"/>
              <w:ind w:firstLine="0"/>
              <w:jc w:val="center"/>
            </w:pPr>
            <w:r>
              <w:rPr>
                <w:sz w:val="21"/>
              </w:rPr>
              <w:t>1</w:t>
            </w:r>
          </w:p>
        </w:tc>
        <w:tc>
          <w:tcPr>
            <w:tcW w:w="1020" w:type="dxa"/>
            <w:vAlign w:val="center"/>
          </w:tcPr>
          <w:p w14:paraId="7223DC19">
            <w:pPr>
              <w:keepNext w:val="0"/>
              <w:spacing w:before="40" w:after="40" w:line="300" w:lineRule="auto"/>
              <w:ind w:firstLine="0"/>
              <w:jc w:val="center"/>
            </w:pPr>
            <w:r>
              <w:rPr>
                <w:sz w:val="21"/>
              </w:rPr>
              <w:t>1</w:t>
            </w:r>
          </w:p>
        </w:tc>
        <w:tc>
          <w:tcPr>
            <w:tcW w:w="1020" w:type="dxa"/>
            <w:vAlign w:val="center"/>
          </w:tcPr>
          <w:p w14:paraId="46DFF6B5">
            <w:pPr>
              <w:keepNext w:val="0"/>
              <w:spacing w:before="40" w:after="40" w:line="300" w:lineRule="auto"/>
              <w:ind w:firstLine="0"/>
              <w:jc w:val="center"/>
            </w:pPr>
            <w:r>
              <w:rPr>
                <w:sz w:val="21"/>
              </w:rPr>
              <w:t>0</w:t>
            </w:r>
          </w:p>
        </w:tc>
        <w:tc>
          <w:tcPr>
            <w:tcW w:w="3288" w:type="dxa"/>
            <w:vAlign w:val="center"/>
          </w:tcPr>
          <w:p w14:paraId="5D672986">
            <w:pPr>
              <w:keepNext w:val="0"/>
              <w:spacing w:before="40" w:after="40" w:line="300" w:lineRule="auto"/>
              <w:ind w:firstLine="0"/>
              <w:jc w:val="left"/>
            </w:pPr>
            <w:r>
              <w:rPr>
                <w:sz w:val="21"/>
              </w:rPr>
              <w:t>后端子集，含学时表与唯一约束</w:t>
            </w:r>
          </w:p>
        </w:tc>
      </w:tr>
      <w:tr w14:paraId="084FC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BD8AD0">
            <w:pPr>
              <w:keepNext w:val="0"/>
              <w:spacing w:before="40" w:after="40" w:line="300" w:lineRule="auto"/>
              <w:ind w:firstLine="0"/>
              <w:jc w:val="left"/>
            </w:pPr>
            <w:r>
              <w:rPr>
                <w:sz w:val="21"/>
              </w:rPr>
              <w:t>真实RabbitMQ实验</w:t>
            </w:r>
          </w:p>
        </w:tc>
        <w:tc>
          <w:tcPr>
            <w:tcW w:w="1020" w:type="dxa"/>
            <w:vAlign w:val="center"/>
          </w:tcPr>
          <w:p w14:paraId="3C19CA4D">
            <w:pPr>
              <w:keepNext w:val="0"/>
              <w:spacing w:before="40" w:after="40" w:line="300" w:lineRule="auto"/>
              <w:ind w:firstLine="0"/>
              <w:jc w:val="center"/>
            </w:pPr>
            <w:r>
              <w:rPr>
                <w:sz w:val="21"/>
              </w:rPr>
              <w:t>1</w:t>
            </w:r>
          </w:p>
        </w:tc>
        <w:tc>
          <w:tcPr>
            <w:tcW w:w="1020" w:type="dxa"/>
            <w:vAlign w:val="center"/>
          </w:tcPr>
          <w:p w14:paraId="700EFCC9">
            <w:pPr>
              <w:keepNext w:val="0"/>
              <w:spacing w:before="40" w:after="40" w:line="300" w:lineRule="auto"/>
              <w:ind w:firstLine="0"/>
              <w:jc w:val="center"/>
            </w:pPr>
            <w:r>
              <w:rPr>
                <w:sz w:val="21"/>
              </w:rPr>
              <w:t>1</w:t>
            </w:r>
          </w:p>
        </w:tc>
        <w:tc>
          <w:tcPr>
            <w:tcW w:w="1020" w:type="dxa"/>
            <w:vAlign w:val="center"/>
          </w:tcPr>
          <w:p w14:paraId="47F70901">
            <w:pPr>
              <w:keepNext w:val="0"/>
              <w:spacing w:before="40" w:after="40" w:line="300" w:lineRule="auto"/>
              <w:ind w:firstLine="0"/>
              <w:jc w:val="center"/>
            </w:pPr>
            <w:r>
              <w:rPr>
                <w:sz w:val="21"/>
              </w:rPr>
              <w:t>0</w:t>
            </w:r>
          </w:p>
        </w:tc>
        <w:tc>
          <w:tcPr>
            <w:tcW w:w="3288" w:type="dxa"/>
            <w:vAlign w:val="center"/>
          </w:tcPr>
          <w:p w14:paraId="112632D4">
            <w:pPr>
              <w:keepNext w:val="0"/>
              <w:spacing w:before="40" w:after="40" w:line="300" w:lineRule="auto"/>
              <w:ind w:firstLine="0"/>
              <w:jc w:val="left"/>
            </w:pPr>
            <w:r>
              <w:rPr>
                <w:sz w:val="21"/>
              </w:rPr>
              <w:t>后端子集，数据库Mapper为替身</w:t>
            </w:r>
          </w:p>
        </w:tc>
      </w:tr>
      <w:tr w14:paraId="5783EB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705B8D8D">
            <w:pPr>
              <w:keepNext w:val="0"/>
              <w:spacing w:before="40" w:after="40" w:line="300" w:lineRule="auto"/>
              <w:ind w:firstLine="0"/>
              <w:jc w:val="left"/>
            </w:pPr>
            <w:r>
              <w:rPr>
                <w:sz w:val="21"/>
              </w:rPr>
              <w:t>前端单元测试</w:t>
            </w:r>
          </w:p>
        </w:tc>
        <w:tc>
          <w:tcPr>
            <w:tcW w:w="1020" w:type="dxa"/>
            <w:vAlign w:val="center"/>
          </w:tcPr>
          <w:p w14:paraId="1A996741">
            <w:pPr>
              <w:keepNext w:val="0"/>
              <w:spacing w:before="40" w:after="40" w:line="300" w:lineRule="auto"/>
              <w:ind w:firstLine="0"/>
              <w:jc w:val="center"/>
            </w:pPr>
            <w:r>
              <w:rPr>
                <w:sz w:val="21"/>
              </w:rPr>
              <w:t>55</w:t>
            </w:r>
          </w:p>
        </w:tc>
        <w:tc>
          <w:tcPr>
            <w:tcW w:w="1020" w:type="dxa"/>
            <w:vAlign w:val="center"/>
          </w:tcPr>
          <w:p w14:paraId="00E908B5">
            <w:pPr>
              <w:keepNext w:val="0"/>
              <w:spacing w:before="40" w:after="40" w:line="300" w:lineRule="auto"/>
              <w:ind w:firstLine="0"/>
              <w:jc w:val="center"/>
            </w:pPr>
            <w:r>
              <w:rPr>
                <w:sz w:val="21"/>
              </w:rPr>
              <w:t>55</w:t>
            </w:r>
          </w:p>
        </w:tc>
        <w:tc>
          <w:tcPr>
            <w:tcW w:w="1020" w:type="dxa"/>
            <w:vAlign w:val="center"/>
          </w:tcPr>
          <w:p w14:paraId="04F94509">
            <w:pPr>
              <w:keepNext w:val="0"/>
              <w:spacing w:before="40" w:after="40" w:line="300" w:lineRule="auto"/>
              <w:ind w:firstLine="0"/>
              <w:jc w:val="center"/>
            </w:pPr>
            <w:r>
              <w:rPr>
                <w:sz w:val="21"/>
              </w:rPr>
              <w:t>0</w:t>
            </w:r>
          </w:p>
        </w:tc>
        <w:tc>
          <w:tcPr>
            <w:tcW w:w="3288" w:type="dxa"/>
            <w:vAlign w:val="center"/>
          </w:tcPr>
          <w:p w14:paraId="30A4975A">
            <w:pPr>
              <w:keepNext w:val="0"/>
              <w:spacing w:before="40" w:after="40" w:line="300" w:lineRule="auto"/>
              <w:ind w:firstLine="0"/>
              <w:jc w:val="left"/>
            </w:pPr>
            <w:r>
              <w:rPr>
                <w:sz w:val="21"/>
              </w:rPr>
              <w:t>14个文件中的界面与逻辑测试</w:t>
            </w:r>
          </w:p>
        </w:tc>
      </w:tr>
      <w:tr w14:paraId="33546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193D7BC">
            <w:pPr>
              <w:keepNext w:val="0"/>
              <w:spacing w:before="40" w:after="40" w:line="300" w:lineRule="auto"/>
              <w:ind w:firstLine="0"/>
              <w:jc w:val="left"/>
            </w:pPr>
            <w:r>
              <w:rPr>
                <w:sz w:val="21"/>
              </w:rPr>
              <w:t>媒体条件守卫</w:t>
            </w:r>
          </w:p>
        </w:tc>
        <w:tc>
          <w:tcPr>
            <w:tcW w:w="1020" w:type="dxa"/>
            <w:vAlign w:val="center"/>
          </w:tcPr>
          <w:p w14:paraId="416C215C">
            <w:pPr>
              <w:keepNext w:val="0"/>
              <w:spacing w:before="40" w:after="40" w:line="300" w:lineRule="auto"/>
              <w:ind w:firstLine="0"/>
              <w:jc w:val="center"/>
            </w:pPr>
            <w:r>
              <w:rPr>
                <w:sz w:val="21"/>
              </w:rPr>
              <w:t>4</w:t>
            </w:r>
          </w:p>
        </w:tc>
        <w:tc>
          <w:tcPr>
            <w:tcW w:w="1020" w:type="dxa"/>
            <w:vAlign w:val="center"/>
          </w:tcPr>
          <w:p w14:paraId="4D1F0F93">
            <w:pPr>
              <w:keepNext w:val="0"/>
              <w:spacing w:before="40" w:after="40" w:line="300" w:lineRule="auto"/>
              <w:ind w:firstLine="0"/>
              <w:jc w:val="center"/>
            </w:pPr>
            <w:r>
              <w:rPr>
                <w:sz w:val="21"/>
              </w:rPr>
              <w:t>4</w:t>
            </w:r>
          </w:p>
        </w:tc>
        <w:tc>
          <w:tcPr>
            <w:tcW w:w="1020" w:type="dxa"/>
            <w:vAlign w:val="center"/>
          </w:tcPr>
          <w:p w14:paraId="51A0847F">
            <w:pPr>
              <w:keepNext w:val="0"/>
              <w:spacing w:before="40" w:after="40" w:line="300" w:lineRule="auto"/>
              <w:ind w:firstLine="0"/>
              <w:jc w:val="center"/>
            </w:pPr>
            <w:r>
              <w:rPr>
                <w:sz w:val="21"/>
              </w:rPr>
              <w:t>0</w:t>
            </w:r>
          </w:p>
        </w:tc>
        <w:tc>
          <w:tcPr>
            <w:tcW w:w="3288" w:type="dxa"/>
            <w:vAlign w:val="center"/>
          </w:tcPr>
          <w:p w14:paraId="7422AE56">
            <w:pPr>
              <w:keepNext w:val="0"/>
              <w:spacing w:before="40" w:after="40" w:line="300" w:lineRule="auto"/>
              <w:ind w:firstLine="0"/>
              <w:jc w:val="left"/>
            </w:pPr>
            <w:r>
              <w:rPr>
                <w:sz w:val="21"/>
              </w:rPr>
              <w:t>验证配置缺失时明确失败</w:t>
            </w:r>
          </w:p>
        </w:tc>
      </w:tr>
      <w:tr w14:paraId="50583F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12998515">
            <w:pPr>
              <w:keepNext w:val="0"/>
              <w:spacing w:before="40" w:after="40" w:line="300" w:lineRule="auto"/>
              <w:ind w:firstLine="0"/>
              <w:jc w:val="left"/>
            </w:pPr>
            <w:r>
              <w:rPr>
                <w:sz w:val="21"/>
              </w:rPr>
              <w:t>UI契约测试</w:t>
            </w:r>
          </w:p>
        </w:tc>
        <w:tc>
          <w:tcPr>
            <w:tcW w:w="1020" w:type="dxa"/>
            <w:vAlign w:val="center"/>
          </w:tcPr>
          <w:p w14:paraId="303E40D9">
            <w:pPr>
              <w:keepNext w:val="0"/>
              <w:spacing w:before="40" w:after="40" w:line="300" w:lineRule="auto"/>
              <w:ind w:firstLine="0"/>
              <w:jc w:val="center"/>
            </w:pPr>
            <w:r>
              <w:rPr>
                <w:sz w:val="21"/>
              </w:rPr>
              <w:t>5</w:t>
            </w:r>
          </w:p>
        </w:tc>
        <w:tc>
          <w:tcPr>
            <w:tcW w:w="1020" w:type="dxa"/>
            <w:vAlign w:val="center"/>
          </w:tcPr>
          <w:p w14:paraId="3156CADC">
            <w:pPr>
              <w:keepNext w:val="0"/>
              <w:spacing w:before="40" w:after="40" w:line="300" w:lineRule="auto"/>
              <w:ind w:firstLine="0"/>
              <w:jc w:val="center"/>
            </w:pPr>
            <w:r>
              <w:rPr>
                <w:sz w:val="21"/>
              </w:rPr>
              <w:t>5</w:t>
            </w:r>
          </w:p>
        </w:tc>
        <w:tc>
          <w:tcPr>
            <w:tcW w:w="1020" w:type="dxa"/>
            <w:vAlign w:val="center"/>
          </w:tcPr>
          <w:p w14:paraId="0EEDB365">
            <w:pPr>
              <w:keepNext w:val="0"/>
              <w:spacing w:before="40" w:after="40" w:line="300" w:lineRule="auto"/>
              <w:ind w:firstLine="0"/>
              <w:jc w:val="center"/>
            </w:pPr>
            <w:r>
              <w:rPr>
                <w:sz w:val="21"/>
              </w:rPr>
              <w:t>0</w:t>
            </w:r>
          </w:p>
        </w:tc>
        <w:tc>
          <w:tcPr>
            <w:tcW w:w="3288" w:type="dxa"/>
            <w:vAlign w:val="center"/>
          </w:tcPr>
          <w:p w14:paraId="1259215A">
            <w:pPr>
              <w:keepNext w:val="0"/>
              <w:spacing w:before="40" w:after="40" w:line="300" w:lineRule="auto"/>
              <w:ind w:firstLine="0"/>
              <w:jc w:val="left"/>
            </w:pPr>
            <w:r>
              <w:rPr>
                <w:sz w:val="21"/>
              </w:rPr>
              <w:t>使用确定的接口夹具数据</w:t>
            </w:r>
          </w:p>
        </w:tc>
      </w:tr>
    </w:tbl>
    <w:p w14:paraId="4A3943C8">
      <w:pPr>
        <w:spacing w:after="80" w:line="240" w:lineRule="auto"/>
      </w:pPr>
    </w:p>
    <w:p w14:paraId="2056843E">
      <w:pPr>
        <w:jc w:val="both"/>
      </w:pPr>
      <w:r>
        <w:t>后端208项已执行测试均通过，按全部210项计算，执行覆盖比例为208/210，约99.05%。这个比例只是本次测试清单中已执行项的比例，不是代码覆盖率，也不是系统正确率。剩余两项分别涉及真实Aliyun OSS和同人不同照片模型，CI没有注入所需授权条件，因此保留为跳过。</w:t>
      </w:r>
    </w:p>
    <w:p w14:paraId="414B04D4">
      <w:pPr>
        <w:jc w:val="both"/>
      </w:pPr>
      <w:r>
        <w:t>数据库执行设置独立门禁，读取管理8项、培训2项、学习1项测试报告，缺少报告或存在跳过都会使门禁失败。11项全部通过说明这些条件测试确实执行，而非因环境不足被整体跳过。它们验证对应迁移、查询和事务场景，并不证明完整培训流程已跨全部服务运行成功。</w:t>
      </w:r>
    </w:p>
    <w:p w14:paraId="68B1068E">
      <w:pPr>
        <w:pStyle w:val="4"/>
        <w:pageBreakBefore w:val="0"/>
      </w:pPr>
      <w:bookmarkStart w:id="41" w:name="_Toc3368"/>
      <w:r>
        <w:t>6.3 核心业务用例分析</w:t>
      </w:r>
      <w:bookmarkEnd w:id="41"/>
    </w:p>
    <w:p w14:paraId="4B69F3D4">
      <w:pPr>
        <w:jc w:val="both"/>
      </w:pPr>
      <w:r>
        <w:t>表6-2按照业务目标归纳具有证据支持的用例。结果栏保留“规则测试”“契约测试”和“真实接口”等来源差异，避免读者把所有通过都理解为真实浏览器完成了同样流程。</w:t>
      </w:r>
    </w:p>
    <w:p w14:paraId="458F616F">
      <w:pPr>
        <w:pStyle w:val="15"/>
      </w:pPr>
      <w:r>
        <w:t>表6-2 核心业务用例与证据</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354125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094D1DF8">
            <w:pPr>
              <w:keepNext/>
              <w:spacing w:before="40" w:after="40" w:line="300" w:lineRule="auto"/>
              <w:ind w:firstLine="0"/>
              <w:jc w:val="center"/>
            </w:pPr>
            <w:r>
              <w:rPr>
                <w:b/>
                <w:sz w:val="21"/>
              </w:rPr>
              <w:t>用例</w:t>
            </w:r>
          </w:p>
        </w:tc>
        <w:tc>
          <w:tcPr>
            <w:tcW w:w="2608" w:type="dxa"/>
            <w:shd w:val="clear" w:color="auto" w:fill="F0F0F0"/>
            <w:vAlign w:val="center"/>
          </w:tcPr>
          <w:p w14:paraId="1878C693">
            <w:pPr>
              <w:keepNext/>
              <w:spacing w:before="40" w:after="40" w:line="300" w:lineRule="auto"/>
              <w:ind w:firstLine="0"/>
              <w:jc w:val="center"/>
            </w:pPr>
            <w:r>
              <w:rPr>
                <w:b/>
                <w:sz w:val="21"/>
              </w:rPr>
              <w:t>主要输入或操作</w:t>
            </w:r>
          </w:p>
        </w:tc>
        <w:tc>
          <w:tcPr>
            <w:tcW w:w="2211" w:type="dxa"/>
            <w:shd w:val="clear" w:color="auto" w:fill="F0F0F0"/>
            <w:vAlign w:val="center"/>
          </w:tcPr>
          <w:p w14:paraId="5E8B1D73">
            <w:pPr>
              <w:keepNext/>
              <w:spacing w:before="40" w:after="40" w:line="300" w:lineRule="auto"/>
              <w:ind w:firstLine="0"/>
              <w:jc w:val="center"/>
            </w:pPr>
            <w:r>
              <w:rPr>
                <w:b/>
                <w:sz w:val="21"/>
              </w:rPr>
              <w:t>预期</w:t>
            </w:r>
          </w:p>
        </w:tc>
        <w:tc>
          <w:tcPr>
            <w:tcW w:w="2551" w:type="dxa"/>
            <w:shd w:val="clear" w:color="auto" w:fill="F0F0F0"/>
            <w:vAlign w:val="center"/>
          </w:tcPr>
          <w:p w14:paraId="12722F6A">
            <w:pPr>
              <w:keepNext/>
              <w:spacing w:before="40" w:after="40" w:line="300" w:lineRule="auto"/>
              <w:ind w:firstLine="0"/>
              <w:jc w:val="center"/>
            </w:pPr>
            <w:r>
              <w:rPr>
                <w:b/>
                <w:sz w:val="21"/>
              </w:rPr>
              <w:t>已有结果与来源</w:t>
            </w:r>
          </w:p>
        </w:tc>
      </w:tr>
      <w:tr w14:paraId="407FBF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F159F6A">
            <w:pPr>
              <w:keepNext w:val="0"/>
              <w:spacing w:before="40" w:after="40" w:line="300" w:lineRule="auto"/>
              <w:ind w:firstLine="0"/>
              <w:jc w:val="left"/>
            </w:pPr>
            <w:r>
              <w:rPr>
                <w:sz w:val="21"/>
              </w:rPr>
              <w:t>重复学习请求</w:t>
            </w:r>
          </w:p>
        </w:tc>
        <w:tc>
          <w:tcPr>
            <w:tcW w:w="2608" w:type="dxa"/>
            <w:vAlign w:val="center"/>
          </w:tcPr>
          <w:p w14:paraId="306093D7">
            <w:pPr>
              <w:keepNext w:val="0"/>
              <w:spacing w:before="40" w:after="40" w:line="300" w:lineRule="auto"/>
              <w:ind w:firstLine="0"/>
              <w:jc w:val="left"/>
            </w:pPr>
            <w:r>
              <w:rPr>
                <w:sz w:val="21"/>
              </w:rPr>
              <w:t>重发相同请求标识</w:t>
            </w:r>
          </w:p>
        </w:tc>
        <w:tc>
          <w:tcPr>
            <w:tcW w:w="2211" w:type="dxa"/>
            <w:vAlign w:val="center"/>
          </w:tcPr>
          <w:p w14:paraId="5AD5202C">
            <w:pPr>
              <w:keepNext w:val="0"/>
              <w:spacing w:before="40" w:after="40" w:line="300" w:lineRule="auto"/>
              <w:ind w:firstLine="0"/>
              <w:jc w:val="left"/>
            </w:pPr>
            <w:r>
              <w:rPr>
                <w:sz w:val="21"/>
              </w:rPr>
              <w:t>不重复增加学时</w:t>
            </w:r>
          </w:p>
        </w:tc>
        <w:tc>
          <w:tcPr>
            <w:tcW w:w="2551" w:type="dxa"/>
            <w:vAlign w:val="center"/>
          </w:tcPr>
          <w:p w14:paraId="3EAB3880">
            <w:pPr>
              <w:keepNext w:val="0"/>
              <w:spacing w:before="40" w:after="40" w:line="300" w:lineRule="auto"/>
              <w:ind w:firstLine="0"/>
              <w:jc w:val="left"/>
            </w:pPr>
            <w:r>
              <w:rPr>
                <w:sz w:val="21"/>
              </w:rPr>
              <w:t>领域测试通过</w:t>
            </w:r>
          </w:p>
        </w:tc>
      </w:tr>
      <w:tr w14:paraId="595851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203DBF8">
            <w:pPr>
              <w:keepNext w:val="0"/>
              <w:spacing w:before="40" w:after="40" w:line="300" w:lineRule="auto"/>
              <w:ind w:firstLine="0"/>
              <w:jc w:val="left"/>
            </w:pPr>
            <w:r>
              <w:rPr>
                <w:sz w:val="21"/>
              </w:rPr>
              <w:t>异常时间与拖动</w:t>
            </w:r>
          </w:p>
        </w:tc>
        <w:tc>
          <w:tcPr>
            <w:tcW w:w="2608" w:type="dxa"/>
            <w:vAlign w:val="center"/>
          </w:tcPr>
          <w:p w14:paraId="6DC5CC63">
            <w:pPr>
              <w:keepNext w:val="0"/>
              <w:spacing w:before="40" w:after="40" w:line="300" w:lineRule="auto"/>
              <w:ind w:firstLine="0"/>
              <w:jc w:val="left"/>
            </w:pPr>
            <w:r>
              <w:rPr>
                <w:sz w:val="21"/>
              </w:rPr>
              <w:t>超间隔或位置增长异常</w:t>
            </w:r>
          </w:p>
        </w:tc>
        <w:tc>
          <w:tcPr>
            <w:tcW w:w="2211" w:type="dxa"/>
            <w:vAlign w:val="center"/>
          </w:tcPr>
          <w:p w14:paraId="3B400608">
            <w:pPr>
              <w:keepNext w:val="0"/>
              <w:spacing w:before="40" w:after="40" w:line="300" w:lineRule="auto"/>
              <w:ind w:firstLine="0"/>
              <w:jc w:val="left"/>
            </w:pPr>
            <w:r>
              <w:rPr>
                <w:sz w:val="21"/>
              </w:rPr>
              <w:t>拒绝或不补计</w:t>
            </w:r>
          </w:p>
        </w:tc>
        <w:tc>
          <w:tcPr>
            <w:tcW w:w="2551" w:type="dxa"/>
            <w:vAlign w:val="center"/>
          </w:tcPr>
          <w:p w14:paraId="7D7A5201">
            <w:pPr>
              <w:keepNext w:val="0"/>
              <w:spacing w:before="40" w:after="40" w:line="300" w:lineRule="auto"/>
              <w:ind w:firstLine="0"/>
              <w:jc w:val="left"/>
            </w:pPr>
            <w:r>
              <w:rPr>
                <w:sz w:val="21"/>
              </w:rPr>
              <w:t>计算规则测试通过</w:t>
            </w:r>
          </w:p>
        </w:tc>
      </w:tr>
      <w:tr w14:paraId="08E80C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D7FF0B6">
            <w:pPr>
              <w:keepNext w:val="0"/>
              <w:spacing w:before="40" w:after="40" w:line="300" w:lineRule="auto"/>
              <w:ind w:firstLine="0"/>
              <w:jc w:val="left"/>
            </w:pPr>
            <w:r>
              <w:rPr>
                <w:sz w:val="21"/>
              </w:rPr>
              <w:t>结尾学时不足</w:t>
            </w:r>
          </w:p>
        </w:tc>
        <w:tc>
          <w:tcPr>
            <w:tcW w:w="2608" w:type="dxa"/>
            <w:vAlign w:val="center"/>
          </w:tcPr>
          <w:p w14:paraId="1CE8DD31">
            <w:pPr>
              <w:keepNext w:val="0"/>
              <w:spacing w:before="40" w:after="40" w:line="300" w:lineRule="auto"/>
              <w:ind w:firstLine="0"/>
              <w:jc w:val="left"/>
            </w:pPr>
            <w:r>
              <w:rPr>
                <w:sz w:val="21"/>
              </w:rPr>
              <w:t>课件结束且剩余学时大于0</w:t>
            </w:r>
          </w:p>
        </w:tc>
        <w:tc>
          <w:tcPr>
            <w:tcW w:w="2211" w:type="dxa"/>
            <w:vAlign w:val="center"/>
          </w:tcPr>
          <w:p w14:paraId="728DB728">
            <w:pPr>
              <w:keepNext w:val="0"/>
              <w:spacing w:before="40" w:after="40" w:line="300" w:lineRule="auto"/>
              <w:ind w:firstLine="0"/>
              <w:jc w:val="left"/>
            </w:pPr>
            <w:r>
              <w:rPr>
                <w:sz w:val="21"/>
              </w:rPr>
              <w:t>可从头补学并保留累计值</w:t>
            </w:r>
          </w:p>
        </w:tc>
        <w:tc>
          <w:tcPr>
            <w:tcW w:w="2551" w:type="dxa"/>
            <w:vAlign w:val="center"/>
          </w:tcPr>
          <w:p w14:paraId="0CCF25DB">
            <w:pPr>
              <w:keepNext w:val="0"/>
              <w:spacing w:before="40" w:after="40" w:line="300" w:lineRule="auto"/>
              <w:ind w:firstLine="0"/>
              <w:jc w:val="left"/>
            </w:pPr>
            <w:r>
              <w:rPr>
                <w:sz w:val="21"/>
              </w:rPr>
              <w:t>后端规则与UI夹具通过</w:t>
            </w:r>
          </w:p>
        </w:tc>
      </w:tr>
      <w:tr w14:paraId="16105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2E711819">
            <w:pPr>
              <w:keepNext w:val="0"/>
              <w:spacing w:before="40" w:after="40" w:line="300" w:lineRule="auto"/>
              <w:ind w:firstLine="0"/>
              <w:jc w:val="left"/>
            </w:pPr>
            <w:r>
              <w:rPr>
                <w:sz w:val="21"/>
              </w:rPr>
              <w:t>抽验零提交超时</w:t>
            </w:r>
          </w:p>
        </w:tc>
        <w:tc>
          <w:tcPr>
            <w:tcW w:w="2608" w:type="dxa"/>
            <w:vAlign w:val="center"/>
          </w:tcPr>
          <w:p w14:paraId="1417A09C">
            <w:pPr>
              <w:keepNext w:val="0"/>
              <w:spacing w:before="40" w:after="40" w:line="300" w:lineRule="auto"/>
              <w:ind w:firstLine="0"/>
              <w:jc w:val="left"/>
            </w:pPr>
            <w:r>
              <w:rPr>
                <w:sz w:val="21"/>
              </w:rPr>
              <w:t>创建任务后一直不提交</w:t>
            </w:r>
          </w:p>
        </w:tc>
        <w:tc>
          <w:tcPr>
            <w:tcW w:w="2211" w:type="dxa"/>
            <w:vAlign w:val="center"/>
          </w:tcPr>
          <w:p w14:paraId="04EE2799">
            <w:pPr>
              <w:keepNext w:val="0"/>
              <w:spacing w:before="40" w:after="40" w:line="300" w:lineRule="auto"/>
              <w:ind w:firstLine="0"/>
              <w:jc w:val="left"/>
            </w:pPr>
            <w:r>
              <w:rPr>
                <w:sz w:val="21"/>
              </w:rPr>
              <w:t>超时任务仍可查</w:t>
            </w:r>
          </w:p>
        </w:tc>
        <w:tc>
          <w:tcPr>
            <w:tcW w:w="2551" w:type="dxa"/>
            <w:vAlign w:val="center"/>
          </w:tcPr>
          <w:p w14:paraId="4CC82DE2">
            <w:pPr>
              <w:keepNext w:val="0"/>
              <w:spacing w:before="40" w:after="40" w:line="300" w:lineRule="auto"/>
              <w:ind w:firstLine="0"/>
              <w:jc w:val="left"/>
            </w:pPr>
            <w:r>
              <w:rPr>
                <w:sz w:val="21"/>
              </w:rPr>
              <w:t>领域与档案契约测试通过</w:t>
            </w:r>
          </w:p>
        </w:tc>
      </w:tr>
      <w:tr w14:paraId="6E4517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D752A76">
            <w:pPr>
              <w:keepNext w:val="0"/>
              <w:spacing w:before="40" w:after="40" w:line="300" w:lineRule="auto"/>
              <w:ind w:firstLine="0"/>
              <w:jc w:val="left"/>
            </w:pPr>
            <w:r>
              <w:rPr>
                <w:sz w:val="21"/>
              </w:rPr>
              <w:t>越企业车辆修改</w:t>
            </w:r>
          </w:p>
        </w:tc>
        <w:tc>
          <w:tcPr>
            <w:tcW w:w="2608" w:type="dxa"/>
            <w:vAlign w:val="center"/>
          </w:tcPr>
          <w:p w14:paraId="0A52A423">
            <w:pPr>
              <w:keepNext w:val="0"/>
              <w:spacing w:before="40" w:after="40" w:line="300" w:lineRule="auto"/>
              <w:ind w:firstLine="0"/>
              <w:jc w:val="left"/>
            </w:pPr>
            <w:r>
              <w:rPr>
                <w:sz w:val="21"/>
              </w:rPr>
              <w:t>用另一企业账号操作同一车辆</w:t>
            </w:r>
          </w:p>
        </w:tc>
        <w:tc>
          <w:tcPr>
            <w:tcW w:w="2211" w:type="dxa"/>
            <w:vAlign w:val="center"/>
          </w:tcPr>
          <w:p w14:paraId="0E585709">
            <w:pPr>
              <w:keepNext w:val="0"/>
              <w:spacing w:before="40" w:after="40" w:line="300" w:lineRule="auto"/>
              <w:ind w:firstLine="0"/>
              <w:jc w:val="left"/>
            </w:pPr>
            <w:r>
              <w:rPr>
                <w:sz w:val="21"/>
              </w:rPr>
              <w:t>服务端拒绝</w:t>
            </w:r>
          </w:p>
        </w:tc>
        <w:tc>
          <w:tcPr>
            <w:tcW w:w="2551" w:type="dxa"/>
            <w:vAlign w:val="center"/>
          </w:tcPr>
          <w:p w14:paraId="58C5EEF3">
            <w:pPr>
              <w:keepNext w:val="0"/>
              <w:spacing w:before="40" w:after="40" w:line="300" w:lineRule="auto"/>
              <w:ind w:firstLine="0"/>
              <w:jc w:val="left"/>
            </w:pPr>
            <w:r>
              <w:rPr>
                <w:sz w:val="21"/>
              </w:rPr>
              <w:t>本机真实接口回归通过</w:t>
            </w:r>
          </w:p>
        </w:tc>
      </w:tr>
      <w:tr w14:paraId="172CF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34BEC298">
            <w:pPr>
              <w:keepNext w:val="0"/>
              <w:spacing w:before="40" w:after="40" w:line="300" w:lineRule="auto"/>
              <w:ind w:firstLine="0"/>
              <w:jc w:val="left"/>
            </w:pPr>
            <w:r>
              <w:rPr>
                <w:sz w:val="21"/>
              </w:rPr>
              <w:t>历史课程无进度</w:t>
            </w:r>
          </w:p>
        </w:tc>
        <w:tc>
          <w:tcPr>
            <w:tcW w:w="2608" w:type="dxa"/>
            <w:vAlign w:val="center"/>
          </w:tcPr>
          <w:p w14:paraId="30AAC787">
            <w:pPr>
              <w:keepNext w:val="0"/>
              <w:spacing w:before="40" w:after="40" w:line="300" w:lineRule="auto"/>
              <w:ind w:firstLine="0"/>
              <w:jc w:val="left"/>
            </w:pPr>
            <w:r>
              <w:rPr>
                <w:sz w:val="21"/>
              </w:rPr>
              <w:t>查询未学习课程快照</w:t>
            </w:r>
          </w:p>
        </w:tc>
        <w:tc>
          <w:tcPr>
            <w:tcW w:w="2211" w:type="dxa"/>
            <w:vAlign w:val="center"/>
          </w:tcPr>
          <w:p w14:paraId="2C3DD140">
            <w:pPr>
              <w:keepNext w:val="0"/>
              <w:spacing w:before="40" w:after="40" w:line="300" w:lineRule="auto"/>
              <w:ind w:firstLine="0"/>
              <w:jc w:val="left"/>
            </w:pPr>
            <w:r>
              <w:rPr>
                <w:sz w:val="21"/>
              </w:rPr>
              <w:t>补零且不建进度</w:t>
            </w:r>
          </w:p>
        </w:tc>
        <w:tc>
          <w:tcPr>
            <w:tcW w:w="2551" w:type="dxa"/>
            <w:vAlign w:val="center"/>
          </w:tcPr>
          <w:p w14:paraId="38594008">
            <w:pPr>
              <w:keepNext w:val="0"/>
              <w:spacing w:before="40" w:after="40" w:line="300" w:lineRule="auto"/>
              <w:ind w:firstLine="0"/>
              <w:jc w:val="left"/>
            </w:pPr>
            <w:r>
              <w:rPr>
                <w:sz w:val="21"/>
              </w:rPr>
              <w:t>查询规则与UI契约通过</w:t>
            </w:r>
          </w:p>
        </w:tc>
      </w:tr>
      <w:tr w14:paraId="4B541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E995B4D">
            <w:pPr>
              <w:keepNext w:val="0"/>
              <w:spacing w:before="40" w:after="40" w:line="300" w:lineRule="auto"/>
              <w:ind w:firstLine="0"/>
              <w:jc w:val="left"/>
            </w:pPr>
            <w:r>
              <w:rPr>
                <w:sz w:val="21"/>
              </w:rPr>
              <w:t>消息无法路由</w:t>
            </w:r>
          </w:p>
        </w:tc>
        <w:tc>
          <w:tcPr>
            <w:tcW w:w="2608" w:type="dxa"/>
            <w:vAlign w:val="center"/>
          </w:tcPr>
          <w:p w14:paraId="4515B80E">
            <w:pPr>
              <w:keepNext w:val="0"/>
              <w:spacing w:before="40" w:after="40" w:line="300" w:lineRule="auto"/>
              <w:ind w:firstLine="0"/>
              <w:jc w:val="left"/>
            </w:pPr>
            <w:r>
              <w:rPr>
                <w:sz w:val="21"/>
              </w:rPr>
              <w:t>发布至没有队列的路由</w:t>
            </w:r>
          </w:p>
        </w:tc>
        <w:tc>
          <w:tcPr>
            <w:tcW w:w="2211" w:type="dxa"/>
            <w:vAlign w:val="center"/>
          </w:tcPr>
          <w:p w14:paraId="5FC6A3AF">
            <w:pPr>
              <w:keepNext w:val="0"/>
              <w:spacing w:before="40" w:after="40" w:line="300" w:lineRule="auto"/>
              <w:ind w:firstLine="0"/>
              <w:jc w:val="left"/>
            </w:pPr>
            <w:r>
              <w:rPr>
                <w:sz w:val="21"/>
              </w:rPr>
              <w:t>不误记已发送</w:t>
            </w:r>
          </w:p>
        </w:tc>
        <w:tc>
          <w:tcPr>
            <w:tcW w:w="2551" w:type="dxa"/>
            <w:vAlign w:val="center"/>
          </w:tcPr>
          <w:p w14:paraId="6B2B73F9">
            <w:pPr>
              <w:keepNext w:val="0"/>
              <w:spacing w:before="40" w:after="40" w:line="300" w:lineRule="auto"/>
              <w:ind w:firstLine="0"/>
              <w:jc w:val="left"/>
            </w:pPr>
            <w:r>
              <w:rPr>
                <w:sz w:val="21"/>
              </w:rPr>
              <w:t>真实Broker实验通过</w:t>
            </w:r>
          </w:p>
        </w:tc>
      </w:tr>
      <w:tr w14:paraId="63ABB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EF9BCE0">
            <w:pPr>
              <w:keepNext w:val="0"/>
              <w:spacing w:before="40" w:after="40" w:line="300" w:lineRule="auto"/>
              <w:ind w:firstLine="0"/>
              <w:jc w:val="left"/>
            </w:pPr>
            <w:r>
              <w:rPr>
                <w:sz w:val="21"/>
              </w:rPr>
              <w:t>消息重复与迟到</w:t>
            </w:r>
          </w:p>
        </w:tc>
        <w:tc>
          <w:tcPr>
            <w:tcW w:w="2608" w:type="dxa"/>
            <w:vAlign w:val="center"/>
          </w:tcPr>
          <w:p w14:paraId="0118C408">
            <w:pPr>
              <w:keepNext w:val="0"/>
              <w:spacing w:before="40" w:after="40" w:line="300" w:lineRule="auto"/>
              <w:ind w:firstLine="0"/>
              <w:jc w:val="left"/>
            </w:pPr>
            <w:r>
              <w:rPr>
                <w:sz w:val="21"/>
              </w:rPr>
              <w:t>重复完成事件或迟到开始事件</w:t>
            </w:r>
          </w:p>
        </w:tc>
        <w:tc>
          <w:tcPr>
            <w:tcW w:w="2211" w:type="dxa"/>
            <w:vAlign w:val="center"/>
          </w:tcPr>
          <w:p w14:paraId="426975B2">
            <w:pPr>
              <w:keepNext w:val="0"/>
              <w:spacing w:before="40" w:after="40" w:line="300" w:lineRule="auto"/>
              <w:ind w:firstLine="0"/>
              <w:jc w:val="left"/>
            </w:pPr>
            <w:r>
              <w:rPr>
                <w:sz w:val="21"/>
              </w:rPr>
              <w:t>不重复处理，不回退状态</w:t>
            </w:r>
          </w:p>
        </w:tc>
        <w:tc>
          <w:tcPr>
            <w:tcW w:w="2551" w:type="dxa"/>
            <w:vAlign w:val="center"/>
          </w:tcPr>
          <w:p w14:paraId="6AD38B64">
            <w:pPr>
              <w:keepNext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上述结果形成从需求到验证的对应关系。学时可信问题由计时、幂等和异常输入测试回应；历史可追溯问题由快照、零进度和零提交查询回应；企业隔离同时具有数据层测试和真实接口回归证据。仍然缺少的是这些机制在真实视频、真实照片与完整计划条件下共同运行的闭环证据。</w:t>
      </w:r>
    </w:p>
    <w:p w14:paraId="07237A67">
      <w:pPr>
        <w:pStyle w:val="4"/>
        <w:pageBreakBefore w:val="0"/>
      </w:pPr>
      <w:bookmarkStart w:id="42" w:name="_Toc5321"/>
      <w:r>
        <w:t>6.4 合成计时实验与结果解释</w:t>
      </w:r>
      <w:bookmarkEnd w:id="42"/>
    </w:p>
    <w:p w14:paraId="3CC54959">
      <w:pPr>
        <w:jc w:val="both"/>
      </w:pPr>
      <w:r>
        <w:t>以现有计算器回归测试的10段抖动输入为实验依据，并设置同规则的均匀理论对照。计时对照采用长度100秒的逻辑媒体位置序列，每次增加10秒，共10次。对照组服务端间隔均为10秒，实验组间隔交替为9秒和11秒，两组服务端总经过时间均为100秒。在满足合法状态、间隔和容差条件下，两组采用同一计时规则，改变的仅是每段服务端经过时间分布。</w:t>
      </w:r>
    </w:p>
    <w:p w14:paraId="1371C536">
      <w:pPr>
        <w:pStyle w:val="15"/>
      </w:pPr>
      <w:r>
        <w:t>表6-3 合成输入下的计时比较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1B80F3EF">
            <w:pPr>
              <w:keepNext/>
              <w:spacing w:before="40" w:after="40" w:line="300" w:lineRule="auto"/>
              <w:ind w:firstLine="0"/>
              <w:jc w:val="center"/>
            </w:pPr>
            <w:r>
              <w:rPr>
                <w:b/>
                <w:sz w:val="21"/>
              </w:rPr>
              <w:t>条件</w:t>
            </w:r>
          </w:p>
        </w:tc>
        <w:tc>
          <w:tcPr>
            <w:tcW w:w="1020" w:type="dxa"/>
            <w:shd w:val="clear" w:color="auto" w:fill="F0F0F0"/>
            <w:vAlign w:val="center"/>
          </w:tcPr>
          <w:p w14:paraId="31D89A6E">
            <w:pPr>
              <w:keepNext/>
              <w:spacing w:before="40" w:after="40" w:line="300" w:lineRule="auto"/>
              <w:ind w:firstLine="0"/>
              <w:jc w:val="center"/>
            </w:pPr>
            <w:r>
              <w:rPr>
                <w:b/>
                <w:sz w:val="21"/>
              </w:rPr>
              <w:t>媒体位置总增量</w:t>
            </w:r>
          </w:p>
        </w:tc>
        <w:tc>
          <w:tcPr>
            <w:tcW w:w="1020" w:type="dxa"/>
            <w:shd w:val="clear" w:color="auto" w:fill="F0F0F0"/>
            <w:vAlign w:val="center"/>
          </w:tcPr>
          <w:p w14:paraId="14097572">
            <w:pPr>
              <w:keepNext/>
              <w:spacing w:before="40" w:after="40" w:line="300" w:lineRule="auto"/>
              <w:ind w:firstLine="0"/>
              <w:jc w:val="center"/>
            </w:pPr>
            <w:r>
              <w:rPr>
                <w:b/>
                <w:sz w:val="21"/>
              </w:rPr>
              <w:t>服务端总时间</w:t>
            </w:r>
          </w:p>
        </w:tc>
        <w:tc>
          <w:tcPr>
            <w:tcW w:w="1020" w:type="dxa"/>
            <w:shd w:val="clear" w:color="auto" w:fill="F0F0F0"/>
            <w:vAlign w:val="center"/>
          </w:tcPr>
          <w:p w14:paraId="132D6E0F">
            <w:pPr>
              <w:keepNext/>
              <w:spacing w:before="40" w:after="40" w:line="300" w:lineRule="auto"/>
              <w:ind w:firstLine="0"/>
              <w:jc w:val="center"/>
            </w:pPr>
            <w:r>
              <w:rPr>
                <w:b/>
                <w:sz w:val="21"/>
              </w:rPr>
              <w:t>计入学时</w:t>
            </w:r>
          </w:p>
        </w:tc>
        <w:tc>
          <w:tcPr>
            <w:tcW w:w="3288" w:type="dxa"/>
            <w:shd w:val="clear" w:color="auto" w:fill="F0F0F0"/>
            <w:vAlign w:val="center"/>
          </w:tcPr>
          <w:p w14:paraId="20C86168">
            <w:pPr>
              <w:keepNext/>
              <w:spacing w:before="40" w:after="40" w:line="300" w:lineRule="auto"/>
              <w:ind w:firstLine="0"/>
              <w:jc w:val="center"/>
            </w:pPr>
            <w:r>
              <w:rPr>
                <w:b/>
                <w:sz w:val="21"/>
              </w:rPr>
              <w:t>差额</w:t>
            </w:r>
          </w:p>
        </w:tc>
      </w:tr>
      <w:tr w14:paraId="46707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4FF20D">
            <w:pPr>
              <w:keepNext/>
              <w:spacing w:before="40" w:after="40" w:line="300" w:lineRule="auto"/>
              <w:ind w:firstLine="0"/>
              <w:jc w:val="left"/>
            </w:pPr>
            <w:r>
              <w:rPr>
                <w:sz w:val="21"/>
              </w:rPr>
              <w:t>均匀间隔10秒</w:t>
            </w:r>
          </w:p>
        </w:tc>
        <w:tc>
          <w:tcPr>
            <w:tcW w:w="1020" w:type="dxa"/>
            <w:vAlign w:val="center"/>
          </w:tcPr>
          <w:p w14:paraId="19D6B4BC">
            <w:pPr>
              <w:keepNext/>
              <w:spacing w:before="40" w:after="40" w:line="300" w:lineRule="auto"/>
              <w:ind w:firstLine="0"/>
              <w:jc w:val="center"/>
            </w:pPr>
            <w:r>
              <w:rPr>
                <w:sz w:val="21"/>
              </w:rPr>
              <w:t>100秒</w:t>
            </w:r>
          </w:p>
        </w:tc>
        <w:tc>
          <w:tcPr>
            <w:tcW w:w="1020" w:type="dxa"/>
            <w:vAlign w:val="center"/>
          </w:tcPr>
          <w:p w14:paraId="2BA72FAD">
            <w:pPr>
              <w:keepNext/>
              <w:spacing w:before="40" w:after="40" w:line="300" w:lineRule="auto"/>
              <w:ind w:firstLine="0"/>
              <w:jc w:val="center"/>
            </w:pPr>
            <w:r>
              <w:rPr>
                <w:sz w:val="21"/>
              </w:rPr>
              <w:t>100秒</w:t>
            </w:r>
          </w:p>
        </w:tc>
        <w:tc>
          <w:tcPr>
            <w:tcW w:w="1020" w:type="dxa"/>
            <w:vAlign w:val="center"/>
          </w:tcPr>
          <w:p w14:paraId="01AF96BE">
            <w:pPr>
              <w:keepNext/>
              <w:spacing w:before="40" w:after="40" w:line="300" w:lineRule="auto"/>
              <w:ind w:firstLine="0"/>
              <w:jc w:val="center"/>
            </w:pPr>
            <w:r>
              <w:rPr>
                <w:sz w:val="21"/>
              </w:rPr>
              <w:t>100秒</w:t>
            </w:r>
          </w:p>
        </w:tc>
        <w:tc>
          <w:tcPr>
            <w:tcW w:w="3288" w:type="dxa"/>
            <w:vAlign w:val="center"/>
          </w:tcPr>
          <w:p w14:paraId="055A919D">
            <w:pPr>
              <w:keepNext/>
              <w:spacing w:before="40" w:after="40" w:line="300" w:lineRule="auto"/>
              <w:ind w:firstLine="0"/>
              <w:jc w:val="center"/>
            </w:pPr>
            <w:r>
              <w:rPr>
                <w:sz w:val="21"/>
              </w:rPr>
              <w:t>0秒</w:t>
            </w:r>
          </w:p>
        </w:tc>
      </w:tr>
      <w:tr w14:paraId="4BBA73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F133F95">
            <w:pPr>
              <w:keepNext w:val="0"/>
              <w:spacing w:before="40" w:after="40" w:line="300" w:lineRule="auto"/>
              <w:ind w:firstLine="0"/>
              <w:jc w:val="left"/>
            </w:pPr>
            <w:r>
              <w:rPr>
                <w:sz w:val="21"/>
              </w:rPr>
              <w:t>9秒与11秒交替</w:t>
            </w:r>
          </w:p>
        </w:tc>
        <w:tc>
          <w:tcPr>
            <w:tcW w:w="1020" w:type="dxa"/>
            <w:vAlign w:val="center"/>
          </w:tcPr>
          <w:p w14:paraId="5FAB4D6B">
            <w:pPr>
              <w:keepNext w:val="0"/>
              <w:spacing w:before="40" w:after="40" w:line="300" w:lineRule="auto"/>
              <w:ind w:firstLine="0"/>
              <w:jc w:val="center"/>
            </w:pPr>
            <w:r>
              <w:rPr>
                <w:sz w:val="21"/>
              </w:rPr>
              <w:t>100秒</w:t>
            </w:r>
          </w:p>
        </w:tc>
        <w:tc>
          <w:tcPr>
            <w:tcW w:w="1020" w:type="dxa"/>
            <w:vAlign w:val="center"/>
          </w:tcPr>
          <w:p w14:paraId="0FBC133E">
            <w:pPr>
              <w:keepNext w:val="0"/>
              <w:spacing w:before="40" w:after="40" w:line="300" w:lineRule="auto"/>
              <w:ind w:firstLine="0"/>
              <w:jc w:val="center"/>
            </w:pPr>
            <w:r>
              <w:rPr>
                <w:sz w:val="21"/>
              </w:rPr>
              <w:t>100秒</w:t>
            </w:r>
          </w:p>
        </w:tc>
        <w:tc>
          <w:tcPr>
            <w:tcW w:w="1020" w:type="dxa"/>
            <w:vAlign w:val="center"/>
          </w:tcPr>
          <w:p w14:paraId="5A667527">
            <w:pPr>
              <w:keepNext w:val="0"/>
              <w:spacing w:before="40" w:after="40" w:line="300" w:lineRule="auto"/>
              <w:ind w:firstLine="0"/>
              <w:jc w:val="center"/>
            </w:pPr>
            <w:r>
              <w:rPr>
                <w:sz w:val="21"/>
              </w:rPr>
              <w:t>95秒</w:t>
            </w:r>
          </w:p>
        </w:tc>
        <w:tc>
          <w:tcPr>
            <w:tcW w:w="3288" w:type="dxa"/>
            <w:vAlign w:val="center"/>
          </w:tcPr>
          <w:p w14:paraId="7A4639E9">
            <w:pPr>
              <w:keepNext w:val="0"/>
              <w:spacing w:before="40" w:after="40" w:line="300" w:lineRule="auto"/>
              <w:ind w:firstLine="0"/>
              <w:jc w:val="center"/>
            </w:pPr>
            <w:r>
              <w:rPr>
                <w:sz w:val="21"/>
              </w:rPr>
              <w:t>5秒</w:t>
            </w:r>
          </w:p>
        </w:tc>
      </w:tr>
    </w:tbl>
    <w:p w14:paraId="1EECEB18">
      <w:pPr>
        <w:spacing w:after="80" w:line="240" w:lineRule="auto"/>
      </w:pPr>
    </w:p>
    <w:p w14:paraId="1E9C071A">
      <w:pPr>
        <w:jc w:val="both"/>
      </w:pPr>
      <w:r>
        <w:t>均匀条件下每段取10秒，得到100秒；抖动条件下每两段计入9加10等于19秒，五组得到95秒。差额产生于逐段取最小值的计算次序，而不是总时间不足。先逐段确认再汇总，与把总播放位置和总经过时间一次性取最小值并不等价。前者能够局部限制异常增量，却不会自动补偿前段因抖动少计的部分。</w:t>
      </w:r>
    </w:p>
    <w:p w14:paraId="079DB5B7">
      <w:pPr>
        <w:jc w:val="both"/>
      </w:pPr>
      <w:r>
        <w:t>抖动组95秒已有计算器测试记录；均匀组100秒是同规则下的对照计算值。两者均为确定输入，不是学员样本统计，表中5秒不能解释成真实环境固定5%的误差。这个实验的作用是揭示状态边界并论证补学入口的必要性。补学修复已有规则和界面测试，实际视频差额分布还应在记录解码帧数、真实播放位置和确认学时的实验中观察。</w:t>
      </w:r>
    </w:p>
    <w:p w14:paraId="69B62379">
      <w:pPr>
        <w:pStyle w:val="4"/>
        <w:pageBreakBefore w:val="0"/>
      </w:pPr>
      <w:bookmarkStart w:id="43" w:name="_Toc15192"/>
      <w:r>
        <w:t>6.5 集成问题与修复验证</w:t>
      </w:r>
      <w:bookmarkEnd w:id="43"/>
    </w:p>
    <w:p w14:paraId="03590946">
      <w:pPr>
        <w:jc w:val="both"/>
      </w:pPr>
      <w:r>
        <w:t>数据库条件测试曾暴露最小测试上下文与正常应用装配不一致的问题。管理库测试缺少JdbcTemplate而无法启动，补充自动配置后进入真实数据库执行；多表回滚未生效则通过补充Flex事务自动配置修复。培训库独立测试受到Nacos配置检查干扰，测试配置中关闭无关注册发现和Dubbo后，才使数据库验证聚焦于目标行为。这些失败记录保留在验收材料中，体现测试环境本身也需要核查。</w:t>
      </w:r>
    </w:p>
    <w:p w14:paraId="78369CC0">
      <w:pPr>
        <w:jc w:val="both"/>
      </w:pPr>
      <w:r>
        <w:t>权限目录查询断言曾因前缀表达方式导致结果为空，修正查询写法后仍保留原权限内容和数量断言。前端CI还发现锁文件下载地址依赖本机公司镜像，项目将385个地址调整为公开npm来源，同时保持包版本、依赖关系和完整性信息不变。此处的385是依赖来源检查条目数，不是业务测试数量，也不能与55项单元测试合并计数。</w:t>
      </w:r>
    </w:p>
    <w:p w14:paraId="45871177">
      <w:pPr>
        <w:jc w:val="both"/>
      </w:pPr>
      <w:r>
        <w:t>Outbox实验进一步说明真实组件测试能够揭示替身难以完整表现的协议语义。代理确认成功同时出现NO_ROUTE时，旧处理会过早标记SENT；修复后结合退回结果判定，临时路由恢复后能够重新投递。实验使用真实RabbitMQ与生产发送器，数据库Mapper仍为测试替身，因此只支持消息代理与发送逻辑的结论。MySQL持久化记录在业务服务重启后是否完整恢复，仍需单独实验。</w:t>
      </w:r>
    </w:p>
    <w:p w14:paraId="530BB67D">
      <w:pPr>
        <w:pStyle w:val="4"/>
        <w:pageBreakBefore w:val="0"/>
      </w:pPr>
      <w:bookmarkStart w:id="44" w:name="_Toc31690"/>
      <w:r>
        <w:t>6.6 性能指标与尚未完成的实验</w:t>
      </w:r>
      <w:bookmarkEnd w:id="44"/>
    </w:p>
    <w:p w14:paraId="5E5C6F5C">
      <w:pPr>
        <w:jc w:val="both"/>
      </w:pPr>
      <w:r>
        <w:t>已有心跳实验只涉及已认证WebSocket连接的协议往返，不绑定学习会话，也不写入学时。2026年9月8日01时06分的存档实验采用同一已认证学员，每个连接顺序发送20次心跳，结果见表6-4。批次耗时包含建立连接，延迟为浏览器测得的往返时间。各组错误数均为零，但样本量、连接建立成本与预热条件不同。</w:t>
      </w:r>
    </w:p>
    <w:p w14:paraId="77F7F785">
      <w:pPr>
        <w:pStyle w:val="15"/>
      </w:pPr>
      <w:r>
        <w:t>表6-4 已认证WebSocket心跳实验</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134" w:type="dxa"/>
            <w:shd w:val="clear" w:color="auto" w:fill="F0F0F0"/>
            <w:vAlign w:val="center"/>
          </w:tcPr>
          <w:p w14:paraId="2949780E">
            <w:pPr>
              <w:keepNext/>
              <w:spacing w:before="40" w:after="40" w:line="300" w:lineRule="auto"/>
              <w:ind w:firstLine="0"/>
              <w:jc w:val="center"/>
            </w:pPr>
            <w:r>
              <w:rPr>
                <w:b/>
                <w:sz w:val="21"/>
              </w:rPr>
              <w:t>连接数</w:t>
            </w:r>
          </w:p>
        </w:tc>
        <w:tc>
          <w:tcPr>
            <w:tcW w:w="1247" w:type="dxa"/>
            <w:shd w:val="clear" w:color="auto" w:fill="F0F0F0"/>
            <w:vAlign w:val="center"/>
          </w:tcPr>
          <w:p w14:paraId="0CB4999E">
            <w:pPr>
              <w:keepNext/>
              <w:spacing w:before="40" w:after="40" w:line="300" w:lineRule="auto"/>
              <w:ind w:firstLine="0"/>
              <w:jc w:val="center"/>
            </w:pPr>
            <w:r>
              <w:rPr>
                <w:b/>
                <w:sz w:val="21"/>
              </w:rPr>
              <w:t>响应数</w:t>
            </w:r>
          </w:p>
        </w:tc>
        <w:tc>
          <w:tcPr>
            <w:tcW w:w="2041" w:type="dxa"/>
            <w:shd w:val="clear" w:color="auto" w:fill="F0F0F0"/>
            <w:vAlign w:val="center"/>
          </w:tcPr>
          <w:p w14:paraId="4E2FFAA4">
            <w:pPr>
              <w:keepNext/>
              <w:spacing w:before="40" w:after="40" w:line="300" w:lineRule="auto"/>
              <w:ind w:firstLine="0"/>
              <w:jc w:val="center"/>
            </w:pPr>
            <w:r>
              <w:rPr>
                <w:b/>
                <w:sz w:val="21"/>
              </w:rPr>
              <w:t>批次耗时毫秒</w:t>
            </w:r>
          </w:p>
        </w:tc>
        <w:tc>
          <w:tcPr>
            <w:tcW w:w="1928" w:type="dxa"/>
            <w:shd w:val="clear" w:color="auto" w:fill="F0F0F0"/>
            <w:vAlign w:val="center"/>
          </w:tcPr>
          <w:p w14:paraId="488240CF">
            <w:pPr>
              <w:keepNext/>
              <w:spacing w:before="40" w:after="40" w:line="300" w:lineRule="auto"/>
              <w:ind w:firstLine="0"/>
              <w:jc w:val="center"/>
            </w:pPr>
            <w:r>
              <w:rPr>
                <w:b/>
                <w:sz w:val="21"/>
              </w:rPr>
              <w:t>响应数每秒</w:t>
            </w:r>
          </w:p>
        </w:tc>
        <w:tc>
          <w:tcPr>
            <w:tcW w:w="1361" w:type="dxa"/>
            <w:shd w:val="clear" w:color="auto" w:fill="F0F0F0"/>
            <w:vAlign w:val="center"/>
          </w:tcPr>
          <w:p w14:paraId="67695B68">
            <w:pPr>
              <w:keepNext/>
              <w:spacing w:before="40" w:after="40" w:line="300" w:lineRule="auto"/>
              <w:ind w:firstLine="0"/>
              <w:jc w:val="center"/>
            </w:pPr>
            <w:r>
              <w:rPr>
                <w:b/>
                <w:sz w:val="21"/>
              </w:rPr>
              <w:t>P50毫秒</w:t>
            </w:r>
          </w:p>
        </w:tc>
        <w:tc>
          <w:tcPr>
            <w:tcW w:w="1361" w:type="dxa"/>
            <w:shd w:val="clear" w:color="auto" w:fill="F0F0F0"/>
            <w:vAlign w:val="center"/>
          </w:tcPr>
          <w:p w14:paraId="72F7FCE3">
            <w:pPr>
              <w:keepNext/>
              <w:spacing w:before="40" w:after="40" w:line="300" w:lineRule="auto"/>
              <w:ind w:firstLine="0"/>
              <w:jc w:val="center"/>
            </w:pPr>
            <w:r>
              <w:rPr>
                <w:b/>
                <w:sz w:val="21"/>
              </w:rPr>
              <w:t>P95毫秒</w:t>
            </w:r>
          </w:p>
        </w:tc>
      </w:tr>
      <w:tr w14:paraId="1328E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6D3D5A03">
            <w:pPr>
              <w:keepNext/>
              <w:spacing w:before="40" w:after="40" w:line="300" w:lineRule="auto"/>
              <w:ind w:firstLine="0"/>
              <w:jc w:val="center"/>
            </w:pPr>
            <w:r>
              <w:rPr>
                <w:sz w:val="21"/>
              </w:rPr>
              <w:t>1</w:t>
            </w:r>
          </w:p>
        </w:tc>
        <w:tc>
          <w:tcPr>
            <w:tcW w:w="1247" w:type="dxa"/>
            <w:vAlign w:val="center"/>
          </w:tcPr>
          <w:p w14:paraId="44D9C6AC">
            <w:pPr>
              <w:keepNext/>
              <w:spacing w:before="40" w:after="40" w:line="300" w:lineRule="auto"/>
              <w:ind w:firstLine="0"/>
              <w:jc w:val="center"/>
            </w:pPr>
            <w:r>
              <w:rPr>
                <w:sz w:val="21"/>
              </w:rPr>
              <w:t>20</w:t>
            </w:r>
          </w:p>
        </w:tc>
        <w:tc>
          <w:tcPr>
            <w:tcW w:w="2041" w:type="dxa"/>
            <w:vAlign w:val="center"/>
          </w:tcPr>
          <w:p w14:paraId="2F574E1E">
            <w:pPr>
              <w:keepNext/>
              <w:spacing w:before="40" w:after="40" w:line="300" w:lineRule="auto"/>
              <w:ind w:firstLine="0"/>
              <w:jc w:val="center"/>
            </w:pPr>
            <w:r>
              <w:rPr>
                <w:sz w:val="21"/>
              </w:rPr>
              <w:t>724.1</w:t>
            </w:r>
          </w:p>
        </w:tc>
        <w:tc>
          <w:tcPr>
            <w:tcW w:w="1928" w:type="dxa"/>
            <w:vAlign w:val="center"/>
          </w:tcPr>
          <w:p w14:paraId="552E06B2">
            <w:pPr>
              <w:keepNext/>
              <w:spacing w:before="40" w:after="40" w:line="300" w:lineRule="auto"/>
              <w:ind w:firstLine="0"/>
              <w:jc w:val="center"/>
            </w:pPr>
            <w:r>
              <w:rPr>
                <w:sz w:val="21"/>
              </w:rPr>
              <w:t>27.62</w:t>
            </w:r>
          </w:p>
        </w:tc>
        <w:tc>
          <w:tcPr>
            <w:tcW w:w="1361" w:type="dxa"/>
            <w:vAlign w:val="center"/>
          </w:tcPr>
          <w:p w14:paraId="5E8B058A">
            <w:pPr>
              <w:keepNext/>
              <w:spacing w:before="40" w:after="40" w:line="300" w:lineRule="auto"/>
              <w:ind w:firstLine="0"/>
              <w:jc w:val="center"/>
            </w:pPr>
            <w:r>
              <w:rPr>
                <w:sz w:val="21"/>
              </w:rPr>
              <w:t>12.0</w:t>
            </w:r>
          </w:p>
        </w:tc>
        <w:tc>
          <w:tcPr>
            <w:tcW w:w="1361" w:type="dxa"/>
            <w:vAlign w:val="center"/>
          </w:tcPr>
          <w:p w14:paraId="271DE584">
            <w:pPr>
              <w:keepNext/>
              <w:spacing w:before="40" w:after="40" w:line="300" w:lineRule="auto"/>
              <w:ind w:firstLine="0"/>
              <w:jc w:val="center"/>
            </w:pPr>
            <w:r>
              <w:rPr>
                <w:sz w:val="21"/>
              </w:rPr>
              <w:t>60.0</w:t>
            </w:r>
          </w:p>
        </w:tc>
      </w:tr>
      <w:tr w14:paraId="694CA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11105873">
            <w:pPr>
              <w:keepNext/>
              <w:spacing w:before="40" w:after="40" w:line="300" w:lineRule="auto"/>
              <w:ind w:firstLine="0"/>
              <w:jc w:val="center"/>
            </w:pPr>
            <w:r>
              <w:rPr>
                <w:sz w:val="21"/>
              </w:rPr>
              <w:t>10</w:t>
            </w:r>
          </w:p>
        </w:tc>
        <w:tc>
          <w:tcPr>
            <w:tcW w:w="1247" w:type="dxa"/>
            <w:vAlign w:val="center"/>
          </w:tcPr>
          <w:p w14:paraId="196C67B5">
            <w:pPr>
              <w:keepNext/>
              <w:spacing w:before="40" w:after="40" w:line="300" w:lineRule="auto"/>
              <w:ind w:firstLine="0"/>
              <w:jc w:val="center"/>
            </w:pPr>
            <w:r>
              <w:rPr>
                <w:sz w:val="21"/>
              </w:rPr>
              <w:t>200</w:t>
            </w:r>
          </w:p>
        </w:tc>
        <w:tc>
          <w:tcPr>
            <w:tcW w:w="2041" w:type="dxa"/>
            <w:vAlign w:val="center"/>
          </w:tcPr>
          <w:p w14:paraId="4E48A83B">
            <w:pPr>
              <w:keepNext/>
              <w:spacing w:before="40" w:after="40" w:line="300" w:lineRule="auto"/>
              <w:ind w:firstLine="0"/>
              <w:jc w:val="center"/>
            </w:pPr>
            <w:r>
              <w:rPr>
                <w:sz w:val="21"/>
              </w:rPr>
              <w:t>1560.5</w:t>
            </w:r>
          </w:p>
        </w:tc>
        <w:tc>
          <w:tcPr>
            <w:tcW w:w="1928" w:type="dxa"/>
            <w:vAlign w:val="center"/>
          </w:tcPr>
          <w:p w14:paraId="00342DDA">
            <w:pPr>
              <w:keepNext/>
              <w:spacing w:before="40" w:after="40" w:line="300" w:lineRule="auto"/>
              <w:ind w:firstLine="0"/>
              <w:jc w:val="center"/>
            </w:pPr>
            <w:r>
              <w:rPr>
                <w:sz w:val="21"/>
              </w:rPr>
              <w:t>128.16</w:t>
            </w:r>
          </w:p>
        </w:tc>
        <w:tc>
          <w:tcPr>
            <w:tcW w:w="1361" w:type="dxa"/>
            <w:vAlign w:val="center"/>
          </w:tcPr>
          <w:p w14:paraId="2DF735D6">
            <w:pPr>
              <w:keepNext/>
              <w:spacing w:before="40" w:after="40" w:line="300" w:lineRule="auto"/>
              <w:ind w:firstLine="0"/>
              <w:jc w:val="center"/>
            </w:pPr>
            <w:r>
              <w:rPr>
                <w:sz w:val="21"/>
              </w:rPr>
              <w:t>9.0</w:t>
            </w:r>
          </w:p>
        </w:tc>
        <w:tc>
          <w:tcPr>
            <w:tcW w:w="1361" w:type="dxa"/>
            <w:vAlign w:val="center"/>
          </w:tcPr>
          <w:p w14:paraId="49B29E92">
            <w:pPr>
              <w:keepNext/>
              <w:spacing w:before="40" w:after="40" w:line="300" w:lineRule="auto"/>
              <w:ind w:firstLine="0"/>
              <w:jc w:val="center"/>
            </w:pPr>
            <w:r>
              <w:rPr>
                <w:sz w:val="21"/>
              </w:rPr>
              <w:t>52.5</w:t>
            </w:r>
          </w:p>
        </w:tc>
      </w:tr>
      <w:tr w14:paraId="05760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03AA5FF0">
            <w:pPr>
              <w:keepNext w:val="0"/>
              <w:spacing w:before="40" w:after="40" w:line="300" w:lineRule="auto"/>
              <w:ind w:firstLine="0"/>
              <w:jc w:val="center"/>
            </w:pPr>
            <w:r>
              <w:rPr>
                <w:sz w:val="21"/>
              </w:rPr>
              <w:t>50</w:t>
            </w:r>
          </w:p>
        </w:tc>
        <w:tc>
          <w:tcPr>
            <w:tcW w:w="1247" w:type="dxa"/>
            <w:vAlign w:val="center"/>
          </w:tcPr>
          <w:p w14:paraId="53D0728F">
            <w:pPr>
              <w:keepNext w:val="0"/>
              <w:spacing w:before="40" w:after="40" w:line="300" w:lineRule="auto"/>
              <w:ind w:firstLine="0"/>
              <w:jc w:val="center"/>
            </w:pPr>
            <w:r>
              <w:rPr>
                <w:sz w:val="21"/>
              </w:rPr>
              <w:t>1000</w:t>
            </w:r>
          </w:p>
        </w:tc>
        <w:tc>
          <w:tcPr>
            <w:tcW w:w="2041" w:type="dxa"/>
            <w:vAlign w:val="center"/>
          </w:tcPr>
          <w:p w14:paraId="3291D594">
            <w:pPr>
              <w:keepNext w:val="0"/>
              <w:spacing w:before="40" w:after="40" w:line="300" w:lineRule="auto"/>
              <w:ind w:firstLine="0"/>
              <w:jc w:val="center"/>
            </w:pPr>
            <w:r>
              <w:rPr>
                <w:sz w:val="21"/>
              </w:rPr>
              <w:t>5544.2</w:t>
            </w:r>
          </w:p>
        </w:tc>
        <w:tc>
          <w:tcPr>
            <w:tcW w:w="1928" w:type="dxa"/>
            <w:vAlign w:val="center"/>
          </w:tcPr>
          <w:p w14:paraId="4198787A">
            <w:pPr>
              <w:keepNext w:val="0"/>
              <w:spacing w:before="40" w:after="40" w:line="300" w:lineRule="auto"/>
              <w:ind w:firstLine="0"/>
              <w:jc w:val="center"/>
            </w:pPr>
            <w:r>
              <w:rPr>
                <w:sz w:val="21"/>
              </w:rPr>
              <w:t>180.37</w:t>
            </w:r>
          </w:p>
        </w:tc>
        <w:tc>
          <w:tcPr>
            <w:tcW w:w="1361" w:type="dxa"/>
            <w:vAlign w:val="center"/>
          </w:tcPr>
          <w:p w14:paraId="3DD9B8A1">
            <w:pPr>
              <w:keepNext w:val="0"/>
              <w:spacing w:before="40" w:after="40" w:line="300" w:lineRule="auto"/>
              <w:ind w:firstLine="0"/>
              <w:jc w:val="center"/>
            </w:pPr>
            <w:r>
              <w:rPr>
                <w:sz w:val="21"/>
              </w:rPr>
              <w:t>4.2</w:t>
            </w:r>
          </w:p>
        </w:tc>
        <w:tc>
          <w:tcPr>
            <w:tcW w:w="1361" w:type="dxa"/>
            <w:vAlign w:val="center"/>
          </w:tcPr>
          <w:p w14:paraId="73339C02">
            <w:pPr>
              <w:keepNext w:val="0"/>
              <w:spacing w:before="40" w:after="40" w:line="300" w:lineRule="auto"/>
              <w:ind w:firstLine="0"/>
              <w:jc w:val="center"/>
            </w:pPr>
            <w:r>
              <w:rPr>
                <w:sz w:val="21"/>
              </w:rPr>
              <w:t>46.0</w:t>
            </w:r>
          </w:p>
        </w:tc>
      </w:tr>
    </w:tbl>
    <w:p w14:paraId="0BB09D3A">
      <w:pPr>
        <w:spacing w:after="80" w:line="240" w:lineRule="auto"/>
      </w:pPr>
    </w:p>
    <w:p w14:paraId="34B422E1">
      <w:pPr>
        <w:jc w:val="both"/>
      </w:pPr>
      <w:r>
        <w:t>表中连接数不代表独立学员数，响应数每秒也不是学习业务吞吐。50连接组P95小于1连接组，不能推导出增加并发改善系统性能；一次短批次更不能证明长期稳定性。真实学习还会产生进度持久化、快照读取、任务投影、媒体访问和抽验请求，需要同时观测这些路径。本文保留心跳实验的原始数值，同时将真实视频学习的容量评价另行安排。</w:t>
      </w:r>
    </w:p>
    <w:p w14:paraId="790AF69B">
      <w:pPr>
        <w:jc w:val="both"/>
      </w:pPr>
      <w:r>
        <w:t>项目已经准备1、5、10名独立学员各正常播放60秒的study-load实验，并配置8项media场景。拟记录的指标包括播放位置增量、解码帧数、确认学时差额、事件响应P50和P95，以及任务开始状态可见时间。可见时间包含轮询与应用处理开销，不能直接称为RabbitMQ内部投递延迟。脚本拒绝复用已有学时的样本，避免初始累计值影响结果。</w:t>
      </w:r>
    </w:p>
    <w:p w14:paraId="59F880ED">
      <w:pPr>
        <w:pStyle w:val="15"/>
      </w:pPr>
      <w:r>
        <w:t>表6-5 真实实验状态与所需证据</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24773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00157329">
            <w:pPr>
              <w:keepNext/>
              <w:spacing w:before="40" w:after="40" w:line="300" w:lineRule="auto"/>
              <w:ind w:firstLine="0"/>
              <w:jc w:val="center"/>
            </w:pPr>
            <w:r>
              <w:rPr>
                <w:b/>
                <w:sz w:val="21"/>
              </w:rPr>
              <w:t>实验</w:t>
            </w:r>
          </w:p>
        </w:tc>
        <w:tc>
          <w:tcPr>
            <w:tcW w:w="3175" w:type="dxa"/>
            <w:shd w:val="clear" w:color="auto" w:fill="F0F0F0"/>
            <w:vAlign w:val="center"/>
          </w:tcPr>
          <w:p w14:paraId="569CEBDA">
            <w:pPr>
              <w:keepNext/>
              <w:spacing w:before="40" w:after="40" w:line="300" w:lineRule="auto"/>
              <w:ind w:firstLine="0"/>
              <w:jc w:val="center"/>
            </w:pPr>
            <w:r>
              <w:rPr>
                <w:b/>
                <w:sz w:val="21"/>
              </w:rPr>
              <w:t>当前状态</w:t>
            </w:r>
          </w:p>
        </w:tc>
        <w:tc>
          <w:tcPr>
            <w:tcW w:w="3798" w:type="dxa"/>
            <w:shd w:val="clear" w:color="auto" w:fill="F0F0F0"/>
            <w:vAlign w:val="center"/>
          </w:tcPr>
          <w:p w14:paraId="5EE468D6">
            <w:pPr>
              <w:keepNext/>
              <w:spacing w:before="40" w:after="40" w:line="300" w:lineRule="auto"/>
              <w:ind w:firstLine="0"/>
              <w:jc w:val="center"/>
            </w:pPr>
            <w:r>
              <w:rPr>
                <w:b/>
                <w:sz w:val="21"/>
              </w:rPr>
              <w:t>应补充的证据</w:t>
            </w:r>
          </w:p>
        </w:tc>
      </w:tr>
      <w:tr w14:paraId="68D1A4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2A0608D8">
            <w:pPr>
              <w:keepNext w:val="0"/>
              <w:spacing w:before="40" w:after="40" w:line="300" w:lineRule="auto"/>
              <w:ind w:firstLine="0"/>
              <w:jc w:val="left"/>
            </w:pPr>
            <w:r>
              <w:rPr>
                <w:sz w:val="21"/>
              </w:rPr>
              <w:t>私有OSS上传与Range播放</w:t>
            </w:r>
          </w:p>
        </w:tc>
        <w:tc>
          <w:tcPr>
            <w:tcW w:w="3175" w:type="dxa"/>
            <w:vAlign w:val="center"/>
          </w:tcPr>
          <w:p w14:paraId="46F073F0">
            <w:pPr>
              <w:keepNext w:val="0"/>
              <w:spacing w:before="40" w:after="40" w:line="300" w:lineRule="auto"/>
              <w:ind w:firstLine="0"/>
              <w:jc w:val="left"/>
            </w:pPr>
            <w:r>
              <w:rPr>
                <w:sz w:val="21"/>
              </w:rPr>
              <w:t>未完成验收</w:t>
            </w:r>
          </w:p>
        </w:tc>
        <w:tc>
          <w:tcPr>
            <w:tcW w:w="3798" w:type="dxa"/>
            <w:vAlign w:val="center"/>
          </w:tcPr>
          <w:p w14:paraId="0FC3B4AA">
            <w:pPr>
              <w:keepNext w:val="0"/>
              <w:spacing w:before="40" w:after="40" w:line="300" w:lineRule="auto"/>
              <w:ind w:firstLine="0"/>
              <w:jc w:val="left"/>
            </w:pPr>
            <w:r>
              <w:rPr>
                <w:sz w:val="21"/>
              </w:rPr>
              <w:t>对象校验、范围响应及浏览器解码记录</w:t>
            </w:r>
          </w:p>
        </w:tc>
      </w:tr>
      <w:tr w14:paraId="6A5D64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E81C0EF">
            <w:pPr>
              <w:keepNext w:val="0"/>
              <w:spacing w:before="40" w:after="40" w:line="300" w:lineRule="auto"/>
              <w:ind w:firstLine="0"/>
              <w:jc w:val="left"/>
            </w:pPr>
            <w:r>
              <w:rPr>
                <w:sz w:val="21"/>
              </w:rPr>
              <w:t>两种模式真实结业</w:t>
            </w:r>
          </w:p>
        </w:tc>
        <w:tc>
          <w:tcPr>
            <w:tcW w:w="3175" w:type="dxa"/>
            <w:vAlign w:val="center"/>
          </w:tcPr>
          <w:p w14:paraId="54EA07C8">
            <w:pPr>
              <w:keepNext w:val="0"/>
              <w:spacing w:before="40" w:after="40" w:line="300" w:lineRule="auto"/>
              <w:ind w:firstLine="0"/>
              <w:jc w:val="left"/>
            </w:pPr>
            <w:r>
              <w:rPr>
                <w:sz w:val="21"/>
              </w:rPr>
              <w:t>未完成验收</w:t>
            </w:r>
          </w:p>
        </w:tc>
        <w:tc>
          <w:tcPr>
            <w:tcW w:w="3798" w:type="dxa"/>
            <w:vAlign w:val="center"/>
          </w:tcPr>
          <w:p w14:paraId="2004B20A">
            <w:pPr>
              <w:keepNext w:val="0"/>
              <w:spacing w:before="40" w:after="40" w:line="300" w:lineRule="auto"/>
              <w:ind w:firstLine="0"/>
              <w:jc w:val="left"/>
            </w:pPr>
            <w:r>
              <w:rPr>
                <w:sz w:val="21"/>
              </w:rPr>
              <w:t>新任务、学习会话、成绩和统计对应记录</w:t>
            </w:r>
          </w:p>
        </w:tc>
      </w:tr>
      <w:tr w14:paraId="48FF65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0A7DDBA">
            <w:pPr>
              <w:keepNext w:val="0"/>
              <w:spacing w:before="40" w:after="40" w:line="300" w:lineRule="auto"/>
              <w:ind w:firstLine="0"/>
              <w:jc w:val="left"/>
            </w:pPr>
            <w:r>
              <w:rPr>
                <w:sz w:val="21"/>
              </w:rPr>
              <w:t>同人不同照及不同人核验</w:t>
            </w:r>
          </w:p>
        </w:tc>
        <w:tc>
          <w:tcPr>
            <w:tcW w:w="3175" w:type="dxa"/>
            <w:vAlign w:val="center"/>
          </w:tcPr>
          <w:p w14:paraId="55CB73D5">
            <w:pPr>
              <w:keepNext w:val="0"/>
              <w:spacing w:before="40" w:after="40" w:line="300" w:lineRule="auto"/>
              <w:ind w:firstLine="0"/>
              <w:jc w:val="left"/>
            </w:pPr>
            <w:r>
              <w:rPr>
                <w:sz w:val="21"/>
              </w:rPr>
              <w:t>条件测试跳过</w:t>
            </w:r>
          </w:p>
        </w:tc>
        <w:tc>
          <w:tcPr>
            <w:tcW w:w="3798" w:type="dxa"/>
            <w:vAlign w:val="center"/>
          </w:tcPr>
          <w:p w14:paraId="7873B0E1">
            <w:pPr>
              <w:keepNext w:val="0"/>
              <w:spacing w:before="40" w:after="40" w:line="300" w:lineRule="auto"/>
              <w:ind w:firstLine="0"/>
              <w:jc w:val="left"/>
            </w:pPr>
            <w:r>
              <w:rPr>
                <w:sz w:val="21"/>
              </w:rPr>
              <w:t>授权照片、模型输出与阈值配置</w:t>
            </w:r>
          </w:p>
        </w:tc>
      </w:tr>
      <w:tr w14:paraId="7A1431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3D559BF">
            <w:pPr>
              <w:keepNext w:val="0"/>
              <w:spacing w:before="40" w:after="40" w:line="300" w:lineRule="auto"/>
              <w:ind w:firstLine="0"/>
              <w:jc w:val="left"/>
            </w:pPr>
            <w:r>
              <w:rPr>
                <w:sz w:val="21"/>
              </w:rPr>
              <w:t>摄像头真实采集</w:t>
            </w:r>
          </w:p>
        </w:tc>
        <w:tc>
          <w:tcPr>
            <w:tcW w:w="3175" w:type="dxa"/>
            <w:vAlign w:val="center"/>
          </w:tcPr>
          <w:p w14:paraId="533FA9EE">
            <w:pPr>
              <w:keepNext w:val="0"/>
              <w:spacing w:before="40" w:after="40" w:line="300" w:lineRule="auto"/>
              <w:ind w:firstLine="0"/>
              <w:jc w:val="left"/>
            </w:pPr>
            <w:r>
              <w:rPr>
                <w:sz w:val="21"/>
              </w:rPr>
              <w:t>未执行</w:t>
            </w:r>
          </w:p>
        </w:tc>
        <w:tc>
          <w:tcPr>
            <w:tcW w:w="3798" w:type="dxa"/>
            <w:vAlign w:val="center"/>
          </w:tcPr>
          <w:p w14:paraId="64115100">
            <w:pPr>
              <w:keepNext w:val="0"/>
              <w:spacing w:before="40" w:after="40" w:line="300" w:lineRule="auto"/>
              <w:ind w:firstLine="0"/>
              <w:jc w:val="left"/>
            </w:pPr>
            <w:r>
              <w:rPr>
                <w:sz w:val="21"/>
              </w:rPr>
              <w:t>操作者、时间、设备与抽验任务记录</w:t>
            </w:r>
          </w:p>
        </w:tc>
      </w:tr>
      <w:tr w14:paraId="155DC6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DAE96BD">
            <w:pPr>
              <w:keepNext w:val="0"/>
              <w:spacing w:before="40" w:after="40" w:line="300" w:lineRule="auto"/>
              <w:ind w:firstLine="0"/>
              <w:jc w:val="left"/>
            </w:pPr>
            <w:r>
              <w:rPr>
                <w:sz w:val="21"/>
              </w:rPr>
              <w:t>1、5、10学员学习实验</w:t>
            </w:r>
          </w:p>
        </w:tc>
        <w:tc>
          <w:tcPr>
            <w:tcW w:w="3175" w:type="dxa"/>
            <w:vAlign w:val="center"/>
          </w:tcPr>
          <w:p w14:paraId="4A81C58E">
            <w:pPr>
              <w:keepNext w:val="0"/>
              <w:spacing w:before="40" w:after="40" w:line="300" w:lineRule="auto"/>
              <w:ind w:firstLine="0"/>
              <w:jc w:val="left"/>
            </w:pPr>
            <w:r>
              <w:rPr>
                <w:sz w:val="21"/>
              </w:rPr>
              <w:t>尚无实测数值</w:t>
            </w:r>
          </w:p>
        </w:tc>
        <w:tc>
          <w:tcPr>
            <w:tcW w:w="3798" w:type="dxa"/>
            <w:vAlign w:val="center"/>
          </w:tcPr>
          <w:p w14:paraId="0B2F5B9B">
            <w:pPr>
              <w:keepNext w:val="0"/>
              <w:spacing w:before="40" w:after="40" w:line="300" w:lineRule="auto"/>
              <w:ind w:firstLine="0"/>
              <w:jc w:val="left"/>
            </w:pPr>
            <w:r>
              <w:rPr>
                <w:sz w:val="21"/>
              </w:rPr>
              <w:t>独立样本的JSON指标报告</w:t>
            </w:r>
          </w:p>
        </w:tc>
      </w:tr>
      <w:tr w14:paraId="56D1EC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E034053">
            <w:pPr>
              <w:keepNext w:val="0"/>
              <w:spacing w:before="40" w:after="40" w:line="300" w:lineRule="auto"/>
              <w:ind w:firstLine="0"/>
              <w:jc w:val="left"/>
            </w:pPr>
            <w:r>
              <w:rPr>
                <w:sz w:val="21"/>
              </w:rPr>
              <w:t>MySQL与服务重启恢复</w:t>
            </w:r>
          </w:p>
        </w:tc>
        <w:tc>
          <w:tcPr>
            <w:tcW w:w="3175" w:type="dxa"/>
            <w:vAlign w:val="center"/>
          </w:tcPr>
          <w:p w14:paraId="3F7B309A">
            <w:pPr>
              <w:keepNext w:val="0"/>
              <w:spacing w:before="40" w:after="40" w:line="300" w:lineRule="auto"/>
              <w:ind w:firstLine="0"/>
              <w:jc w:val="left"/>
            </w:pPr>
            <w:r>
              <w:rPr>
                <w:sz w:val="21"/>
              </w:rPr>
              <w:t>未执行</w:t>
            </w:r>
          </w:p>
        </w:tc>
        <w:tc>
          <w:tcPr>
            <w:tcW w:w="3798" w:type="dxa"/>
            <w:vAlign w:val="center"/>
          </w:tcPr>
          <w:p w14:paraId="5FA94573">
            <w:pPr>
              <w:keepNext w:val="0"/>
              <w:spacing w:before="40" w:after="40" w:line="300" w:lineRule="auto"/>
              <w:ind w:firstLine="0"/>
              <w:jc w:val="left"/>
            </w:pPr>
            <w:r>
              <w:rPr>
                <w:sz w:val="21"/>
              </w:rPr>
              <w:t>事件标识关联的Outbox与消费日志</w:t>
            </w:r>
          </w:p>
        </w:tc>
      </w:tr>
      <w:tr w14:paraId="62B967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E1C7873">
            <w:pPr>
              <w:keepNext w:val="0"/>
              <w:spacing w:before="40" w:after="40" w:line="300" w:lineRule="auto"/>
              <w:ind w:firstLine="0"/>
              <w:jc w:val="left"/>
            </w:pPr>
            <w:r>
              <w:rPr>
                <w:sz w:val="21"/>
              </w:rPr>
              <w:t>自然到期档案</w:t>
            </w:r>
          </w:p>
        </w:tc>
        <w:tc>
          <w:tcPr>
            <w:tcW w:w="3175" w:type="dxa"/>
            <w:vAlign w:val="center"/>
          </w:tcPr>
          <w:p w14:paraId="553C28B8">
            <w:pPr>
              <w:keepNext w:val="0"/>
              <w:spacing w:before="40" w:after="40" w:line="300" w:lineRule="auto"/>
              <w:ind w:firstLine="0"/>
              <w:jc w:val="left"/>
            </w:pPr>
            <w:r>
              <w:rPr>
                <w:sz w:val="21"/>
              </w:rPr>
              <w:t>待真实流程完成</w:t>
            </w:r>
          </w:p>
        </w:tc>
        <w:tc>
          <w:tcPr>
            <w:tcW w:w="3798" w:type="dxa"/>
            <w:vAlign w:val="center"/>
          </w:tcPr>
          <w:p w14:paraId="32549254">
            <w:pPr>
              <w:keepNext w:val="0"/>
              <w:spacing w:before="40" w:after="40" w:line="300" w:lineRule="auto"/>
              <w:ind w:firstLine="0"/>
              <w:jc w:val="left"/>
            </w:pPr>
            <w:r>
              <w:rPr>
                <w:sz w:val="21"/>
              </w:rPr>
              <w:t>到期前后任务与只读查询记录</w:t>
            </w:r>
          </w:p>
        </w:tc>
      </w:tr>
    </w:tbl>
    <w:p w14:paraId="0105D96C">
      <w:pPr>
        <w:spacing w:after="80" w:line="240" w:lineRule="auto"/>
      </w:pPr>
    </w:p>
    <w:p w14:paraId="03BBC40E">
      <w:pPr>
        <w:jc w:val="both"/>
      </w:pPr>
      <w:r>
        <w:t>这些未完成项目限制了结论范围。9月13日版本已具有人员车辆绑定、个人资料、签到签退核验、照片留档、自然日周期、先学后考、提前结业和播放恢复的实现及相关测试代码；本次只核对代码与论文，未执行这些新场景。后续应补验核验凭据过期及跨事件复用、照片越权预览、同日与到期边界、学习未完成时开考、全员结业后的周期内回看，以及断线切片恢复。实验须保留失败记录、代码版本、数据初态和时间信息，不以直接修改数据库状态制造成功结果。</w:t>
      </w:r>
    </w:p>
    <w:p w14:paraId="22BEAFFE">
      <w:pPr>
        <w:jc w:val="both"/>
      </w:pPr>
      <w:r>
        <w:t>若进一步研究培训对道路安全的作用，还需设计独立效果评价。Stephan等开展的新手驾驶员培训随机试验在完成活动者中观察到安全意向变化，但未获得事故减少的结果，失访也限制了分析。</w:t>
      </w:r>
      <w:r>
        <w:rPr>
          <w:vertAlign w:val="superscript"/>
        </w:rPr>
        <w:t>[21]</w:t>
      </w:r>
      <w:r>
        <w:t>该研究的对象与企业驾驶员不同，不能直接推广；它说明软件功能通过验收与培训产生安全成效属于两个研究问题。本文没有收集真实驾驶事故与行为对照数据，因此不对后一问题作效果判断。</w:t>
      </w:r>
    </w:p>
    <w:p w14:paraId="508207CA">
      <w:pPr>
        <w:pStyle w:val="3"/>
        <w:pageBreakBefore/>
      </w:pPr>
      <w:bookmarkStart w:id="45" w:name="_Toc6342"/>
      <w:r>
        <w:t>7 总结与展望</w:t>
      </w:r>
      <w:bookmarkEnd w:id="45"/>
    </w:p>
    <w:p w14:paraId="5BBBA872">
      <w:pPr>
        <w:pStyle w:val="4"/>
        <w:pageBreakBefore w:val="0"/>
      </w:pPr>
      <w:bookmarkStart w:id="46" w:name="_Toc30410"/>
      <w:r>
        <w:t>7.1 研究总结</w:t>
      </w:r>
      <w:bookmarkEnd w:id="46"/>
    </w:p>
    <w:p w14:paraId="7FDDA531">
      <w:pPr>
        <w:jc w:val="both"/>
      </w:pPr>
      <w:r>
        <w:t>本研究围绕道路运输企业在线培训中“学时如何形成、结果如何同步、历史如何查询”三个具体问题，完成了需求、架构、数据和核心实现的分析。系统以Dubbo连接管理、培训与学习服务，采用课程发布快照固定任务依据，以服务端时间和播放位置共同约束有效学时，并通过抽验与考试补充过程和结果记录。企业隔离贯穿对象查询和修改，档案使用独立只读路径保存已结束任务的可访问性。</w:t>
      </w:r>
    </w:p>
    <w:p w14:paraId="0319A87F">
      <w:pPr>
        <w:jc w:val="both"/>
      </w:pPr>
      <w:r>
        <w:t>研究形成的工程认识主要体现在规则之间的衔接。保守计时能够限制异常增量，但会出现课件结束而学时不足的状态，因此必须提供遵守原计时规则的补学入口。Outbox能够保留待发送事件，但发送成功判断还必须区分代理确认与路由退回，消费端则需要处理重复和迟到。抽验留痕必须以任务为主体，才能记录没有提交照片的超时行为。这些处理把正常流程之外的状态组合纳入了实现与测试。</w:t>
      </w:r>
    </w:p>
    <w:p w14:paraId="07FDE168">
      <w:pPr>
        <w:jc w:val="both"/>
      </w:pPr>
      <w:r>
        <w:t>截至2026年9月9日的验收记录显示，后端210项测试中208项通过、2项因真实依赖条件跳过，11项MySQL集成测试全部执行通过，前端55项单测、4项条件守卫和5项UI契约测试通过。结果支持已覆盖规则与组件行为的实现结论，同时揭示真实媒体和照片验证仍未完成。本文不将自动化通过数量扩展为生产稳定性、真人识别准确率或培训效果提升的证明。</w:t>
      </w:r>
    </w:p>
    <w:p w14:paraId="7E32D21D">
      <w:pPr>
        <w:pStyle w:val="4"/>
        <w:pageBreakBefore w:val="0"/>
      </w:pPr>
      <w:bookmarkStart w:id="47" w:name="_Toc3594"/>
      <w:r>
        <w:t>7.2 局限与后续工作</w:t>
      </w:r>
      <w:bookmarkEnd w:id="47"/>
    </w:p>
    <w:p w14:paraId="3D524569">
      <w:pPr>
        <w:jc w:val="both"/>
      </w:pPr>
      <w:r>
        <w:t>后续工作首先应完成真实依赖下的业务闭环：使用专用私有OSS、授权照片和独立学员任务，贯通上传、播放、抽验、考试与统计；再执行断线、乱序、服务重启和自然到期档案实验。真实学习并发应记录环境资源、初始任务状态和完整指标，观察学时差额分布及状态可见时间，从而检验当前保守计时与补学方式在实际使用中的代价。</w:t>
      </w:r>
    </w:p>
    <w:p w14:paraId="2619C0D0">
      <w:pPr>
        <w:jc w:val="both"/>
      </w:pPr>
      <w:r>
        <w:t>身份核验需要进一步验证同人不同照片、不同人、多人和复杂拍摄条件，并明确模型阈值的适用范围。活体检测和攻击防护应单独提出测试目标，不能从相似度比较自然推导。应用层还应补齐非人脸替代核验、告知授权和信息保存删除流程，使身份确认与个人信息保护要求在同一业务流程中得到落实。</w:t>
      </w:r>
    </w:p>
    <w:p w14:paraId="20CC5C5E">
      <w:pPr>
        <w:jc w:val="both"/>
      </w:pPr>
      <w:r>
        <w:t>架构扩展宜在单实例闭环稳定之后开展。多实例Realtime需要共享或协调连接归属，消息恢复需要真实持久化与重启验证，TLS部署需要重新检查媒体、Cookie和摄像头安全上下文。跨企业行业监管应建立与企业自有查询不同的授权模型。只有补齐这些证据，才能进一步讨论生产部署与规模化使用；现阶段的研究贡献是形成一套职责明确、过程可解释且具有验证入口的企业培训实现方案。</w:t>
      </w:r>
    </w:p>
    <w:p w14:paraId="683E1EC6">
      <w:pPr>
        <w:pStyle w:val="3"/>
        <w:pageBreakBefore/>
      </w:pPr>
      <w:bookmarkStart w:id="48" w:name="_Toc978"/>
      <w:r>
        <w:t>致谢</w:t>
      </w:r>
      <w:bookmarkEnd w:id="48"/>
    </w:p>
    <w:p w14:paraId="4492D7C0">
      <w:pPr>
        <w:jc w:val="both"/>
      </w:pPr>
      <w:r>
        <w:t>本项目的开发和验证使用了Apache Dubbo、Spring、Vue、OpenCV等开源项目，以及相关工具的公开文档。感谢这些项目的维护者和贡献者，使系统实现与问题复现具有可查阅的技术基础。也感谢本文所引研究的作者，其对培训效果、学习分析、身份核验和服务一致性的讨论，为辨别系统能够说明什么、尚需验证什么提供了具体参照。</w:t>
      </w:r>
    </w:p>
    <w:p w14:paraId="2BF112BF">
      <w:pPr>
        <w:jc w:val="both"/>
      </w:pPr>
      <w:r>
        <w:t>论文中的实现分析、结果解释和不足说明仍需在后续修改中继续核对。对实际参与指导、项目协作和测试支持的人员，将在确认姓名及具体帮助内容后补充致谢。</w:t>
      </w:r>
    </w:p>
    <w:p w14:paraId="4531FA4F">
      <w:pPr>
        <w:pStyle w:val="3"/>
        <w:pageBreakBefore/>
        <w:spacing w:after="360"/>
      </w:pPr>
      <w:bookmarkStart w:id="49" w:name="_Toc16783"/>
      <w:r>
        <w:t>参考文献</w:t>
      </w:r>
      <w:bookmarkEnd w:id="49"/>
    </w:p>
    <w:p w14:paraId="3870104C">
      <w:pPr>
        <w:pStyle w:val="169"/>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14:paraId="3A442874">
      <w:pPr>
        <w:pStyle w:val="3"/>
        <w:pageBreakBefore/>
      </w:pPr>
      <w:bookmarkStart w:id="50" w:name="_Toc30215"/>
      <w:r>
        <w:t>附录A 项目证据与复现入口</w:t>
      </w:r>
      <w:bookmarkEnd w:id="50"/>
    </w:p>
    <w:p w14:paraId="40FE8AA9">
      <w:pPr>
        <w:jc w:val="both"/>
      </w:pPr>
      <w:r>
        <w:t>本附录列出论文实现与测试结论的仓库证据。路径以项目根目录为基准，实现说明于2026年9月13日增量核对至提交96a8d84，覆盖CHG-20260913-01～15；具体条目、文件范围及论文版本登记在docs/changes/2026-09-13-since-09-07.md。测试仍引用存档执行结果，后端CI为fcbb506、前端CI为7ca2f94，本次未重跑业务测试。</w:t>
      </w:r>
    </w:p>
    <w:p w14:paraId="6265B265">
      <w:pPr>
        <w:pStyle w:val="4"/>
      </w:pPr>
      <w:bookmarkStart w:id="51" w:name="_Toc28356"/>
      <w:r>
        <w:t>A.1 业务与实现</w:t>
      </w:r>
      <w:bookmarkEnd w:id="51"/>
    </w:p>
    <w:p w14:paraId="18AB7D5D">
      <w:pPr>
        <w:jc w:val="left"/>
      </w:pPr>
      <w:r>
        <w:t>总体范围见README.md与IMPLEMENTATION_STATUS.md。技术说明见docs/thesis/design-and-defense.md。服务代码位于backend中对应服务的src/main/java/me/lj/train目录，数据库结构位于各服务src/main/resources/db/migration目录。核心文件包括LearningTimeCalculator.java、LearningSessionServiceImpl.java、FaceCheckServiceImpl.java、TrainingRecordController.java和VehicleServiceImpl.java。</w:t>
      </w:r>
    </w:p>
    <w:p w14:paraId="280E8F80">
      <w:pPr>
        <w:pStyle w:val="4"/>
      </w:pPr>
      <w:bookmarkStart w:id="52" w:name="_Toc25739"/>
      <w:r>
        <w:t>A.2 测试与数据</w:t>
      </w:r>
      <w:bookmarkEnd w:id="52"/>
    </w:p>
    <w:p w14:paraId="407F414C">
      <w:pPr>
        <w:jc w:val="left"/>
      </w:pPr>
      <w:r>
        <w:t>最新结果见docs/test/acceptance-2026-09-09.md及ci-2026-09-09.json。心跳原始数据见docs/test/heartbeat-2026-09-08.json，统计实现见frontend/e2e/realtime.load.spec.ts。10段合成抖动输入见LearningTimeCalculatorTest.java；100段独立实验见scripts/LearningTimeExperiment.java，两组输入不混为同一次实验。</w:t>
      </w:r>
    </w:p>
    <w:p w14:paraId="2C8545ED">
      <w:pPr>
        <w:pStyle w:val="4"/>
      </w:pPr>
      <w:bookmarkStart w:id="53" w:name="_Toc15340"/>
      <w:r>
        <w:t>A.3 待开展实验</w:t>
      </w:r>
      <w:bookmarkEnd w:id="53"/>
    </w:p>
    <w:p w14:paraId="751D2E9E">
      <w:pPr>
        <w:jc w:val="left"/>
      </w:pPr>
      <w:r>
        <w:t>真实媒体步骤见docs/test/media-acceptance.md，证据状态见docs/thesis/evidence-index.md。本机启动说明见docs/deployment/local-demo.md。后端复现命令为mvn --batch-mode --no-transfer-progress -f backend/pom.xml clean verify；数据库门禁为python3 scripts/check-database-tests.py。执行真实外部依赖实验前按手册提供专用测试条件。</w:t>
      </w:r>
    </w:p>
    <w:p w14:paraId="57FAD649">
      <w:pPr>
        <w:pStyle w:val="170"/>
      </w:pPr>
      <w:r>
        <w:t>后端CI原始作业：</w:t>
      </w:r>
      <w:r>
        <w:fldChar w:fldCharType="begin"/>
      </w:r>
      <w:r>
        <w:instrText xml:space="preserve"> HYPERLINK "https://github.com/Lijian500/road-transport-training-platform/actions/runs/34250552187" \h </w:instrText>
      </w:r>
      <w:r>
        <w:fldChar w:fldCharType="separate"/>
      </w:r>
      <w:r>
        <w:rPr>
          <w:rFonts w:ascii="Times New Roman" w:hAnsi="Times New Roman"/>
          <w:color w:val="000000"/>
          <w:sz w:val="24"/>
        </w:rPr>
        <w:t>https://github.com/Lijian500/road-transport-training-platform/actions/runs/34250552187</w:t>
      </w:r>
      <w:r>
        <w:rPr>
          <w:rFonts w:ascii="Times New Roman" w:hAnsi="Times New Roman"/>
          <w:color w:val="000000"/>
          <w:sz w:val="24"/>
        </w:rPr>
        <w:fldChar w:fldCharType="end"/>
      </w:r>
    </w:p>
    <w:p w14:paraId="455D3E64">
      <w:pPr>
        <w:pStyle w:val="170"/>
      </w:pPr>
      <w:r>
        <w:t>前端CI原始作业：</w:t>
      </w:r>
      <w:r>
        <w:fldChar w:fldCharType="begin"/>
      </w:r>
      <w:r>
        <w:instrText xml:space="preserve"> HYPERLINK "https://github.com/Lijian500/road-transport-training-platform/actions/runs/34249525727" \h </w:instrText>
      </w:r>
      <w:r>
        <w:fldChar w:fldCharType="separate"/>
      </w:r>
      <w:r>
        <w:rPr>
          <w:rFonts w:ascii="Times New Roman" w:hAnsi="Times New Roman"/>
          <w:color w:val="000000"/>
          <w:sz w:val="24"/>
        </w:rPr>
        <w:t>https://github.com/Lijian500/road-transport-training-platform/actions/runs/34249525727</w:t>
      </w:r>
      <w:r>
        <w:rPr>
          <w:rFonts w:ascii="Times New Roman" w:hAnsi="Times New Roman"/>
          <w:color w:val="000000"/>
          <w:sz w:val="24"/>
        </w:rPr>
        <w:fldChar w:fldCharType="end"/>
      </w:r>
    </w:p>
    <w:p w14:paraId="2B7726A8">
      <w:pPr>
        <w:pStyle w:val="3"/>
        <w:pageBreakBefore/>
      </w:pPr>
      <w:bookmarkStart w:id="54" w:name="_Toc16796"/>
      <w:r>
        <w:t>附录B 初稿排版约定与待补信息</w:t>
      </w:r>
      <w:bookmarkEnd w:id="54"/>
    </w:p>
    <w:p w14:paraId="4D2705F1">
      <w:pPr>
        <w:jc w:val="both"/>
      </w:pPr>
      <w:r>
        <w:t>本稿按《论文写作与格式规范.md》设置标题、正文、中英文摘要、上标引用和参考文献，目录由Word根据标题样式自动生成。规范没有明确的页面参数暂作为项目内部排版约定：A4纸，上下左右页边距25毫米；封面、承诺书和目录不显示页码，摘要以罗马数字从I开始，正文从阿拉伯数字1重新编号，后续部分连续编号；摘要和正文显示页眉，各章另起一页。图题位于图下、表题位于表上，图表文字与编号统一设置。以上补充设置不作为学校新增要求。</w:t>
      </w:r>
    </w:p>
    <w:p w14:paraId="29B9EAC1">
      <w:pPr>
        <w:jc w:val="both"/>
      </w:pPr>
      <w:r>
        <w:t>封面姓名、准考证号、专业名称、专业代码及指导教师全名尚待填写；承诺人应由作者本人签名，日期与封面一致。致谢应补充实际帮助者及具体贡献。定稿前需按指导教师意见确认页边距、页眉适用范围、图表样式和附录目录收录方式，并更新整个自动目录。</w:t>
      </w:r>
    </w:p>
    <w:p w14:paraId="10040B32">
      <w:pPr>
        <w:jc w:val="both"/>
      </w:pPr>
      <w:r>
        <w:t>参考文献按首次出现顺序编号。近五年以2021年9月9日至2026年9月9日计算，按正式发表时间统计；无明确更新日期的技术文档不计为近五年资料。本文所引国外职业安全、驾驶行为、学习分析和微服务研究具有国外研究机构背景，不仅按英文标题判断来源。法规按对应原始公布或修正日期著录，不能将网站转载日期替换为法规形成时间。</w:t>
      </w:r>
    </w:p>
    <w:sectPr>
      <w:headerReference r:id="rId9" w:type="default"/>
      <w:footerReference r:id="rId10" w:type="default"/>
      <w:pgSz w:w="11906" w:h="16838"/>
      <w:pgMar w:top="1417" w:right="1417" w:bottom="1417" w:left="1417" w:header="680" w:footer="68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3974">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2C319">
    <w:pPr>
      <w:pStyle w:val="26"/>
      <w:spacing w:line="240" w:lineRule="auto"/>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3F7ED">
    <w:pPr>
      <w:pStyle w:val="26"/>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B79EC"/>
    <w:rsid w:val="31C13B9D"/>
    <w:rsid w:val="32D85F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spacing w:after="0" w:line="240" w:lineRule="auto"/>
    </w:pPr>
  </w:style>
  <w:style w:type="paragraph" w:styleId="27">
    <w:name w:val="toc 1"/>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uiPriority w:val="0"/>
    <w:rPr>
      <w:rFonts w:ascii="Times New Roman" w:hAnsi="Times New Roman" w:eastAsia="宋体"/>
      <w:color w:val="000000"/>
      <w:sz w:val="24"/>
    </w:rPr>
  </w:style>
  <w:style w:type="paragraph" w:customStyle="1" w:styleId="169">
    <w:name w:val="Reference"/>
    <w:basedOn w:val="1"/>
    <w:uiPriority w:val="0"/>
    <w:pPr>
      <w:spacing w:after="120"/>
      <w:ind w:firstLine="0"/>
    </w:pPr>
  </w:style>
  <w:style w:type="paragraph" w:customStyle="1" w:styleId="170">
    <w:name w:val="Small Body"/>
    <w:basedOn w:val="1"/>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2026-09-13T13:15:51Z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ies>
</file>