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 xml:space="preserve">    </w:t>
      </w: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firstLine="3340" w:firstLineChars="0"/>
      </w:pPr>
      <w:r>
        <w:rPr>
          <w:rFonts w:hint="eastAsia" w:ascii="宋体" w:hAnsi="宋体" w:eastAsia="宋体" w:cs="宋体"/>
          <w:sz w:val="24"/>
          <w:szCs w:val="24"/>
          <w:lang w:val="en-US" w:eastAsia="zh-CN"/>
        </w:rPr>
        <w:t xml:space="preserve">                   时  间：</w:t>
      </w:r>
      <w:r>
        <w:rPr>
          <w:rFonts w:hint="eastAsia" w:ascii="宋体" w:hAnsi="宋体" w:cs="宋体"/>
          <w:sz w:val="24"/>
          <w:szCs w:val="24"/>
          <w:lang w:val="en-US" w:eastAsia="zh-CN"/>
        </w:rPr>
        <w:t>2026年9月</w:t>
      </w:r>
      <w:bookmarkStart w:id="69" w:name="_GoBack"/>
      <w:bookmarkEnd w:id="69"/>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4</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5</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5</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5</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6</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6</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7</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8</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9</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10</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11</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11</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11</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12</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14</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14</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15</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15</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15</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16</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16</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16</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17</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17</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17</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19</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19</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20</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21</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21</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25</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26</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26</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38</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39</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39</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41</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41</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42</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43</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44</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45</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46</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48</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48</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49</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50</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50</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51</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52</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53</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53</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53</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54</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55</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57</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57</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57</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57</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58</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58</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66</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83</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后端全量266项测试均执行通过，覆盖学时计算、幂等处理、数据库集成、真实OSS及授权照片模型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对本项目而言，仅展示累计时长不能充分帮助学员理解进度，剩余学时、异常原因和可执行的补学入口应与数据一起呈现。界面反馈与学习成绩改善属于不同的评价对象，本文研究范围为进度解释与操作反馈。</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该研究表明服务拆分后，仅有模块名称不足以支持故障定位，还需要了解一次请求和一个业务结果经过哪些服务。本文因此围绕任务、会话与事件标识分析调用关系，研究范围为业务调用关系与结果传播机制。</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第一章说明问题、目标与相关研究；第二章介绍编程语言、开发框架、数据库及实时通信、消息一致性等相关技术；第三章分析角色、功能需求与可行性；第四章给出总体架构、功能结构、数据库设计及核心流程；第五章分析关键功能实现；第六章比较测试结果并解释证据边界；第七章归纳研究结果、局限与拓展方向。附录补充实验记录与完整数据表结构。</w:t>
      </w:r>
    </w:p>
    <w:p w14:paraId="1F1A84DD">
      <w:pPr>
        <w:pStyle w:val="3"/>
        <w:pageBreakBefore/>
      </w:pPr>
      <w:bookmarkStart w:id="7" w:name="_Toc8716"/>
      <w:r>
        <w:t>2 相关理论与关键技术</w:t>
      </w:r>
      <w:bookmarkEnd w:id="7"/>
    </w:p>
    <w:p w14:paraId="15BD2FF3">
      <w:pPr>
        <w:jc w:val="both"/>
      </w:pPr>
      <w:r>
        <w:t>本章围绕系统实现所使用的编程语言、开发框架、数据存储及支撑组件，介绍其基本原理与选用依据，并说明各项技术在培训业务中的作用，为后续系统设计和实现分析提供基础。</w:t>
      </w:r>
    </w:p>
    <w:p w14:paraId="3AF31D26">
      <w:pPr>
        <w:pStyle w:val="4"/>
        <w:pageBreakBefore w:val="0"/>
      </w:pPr>
      <w:bookmarkStart w:id="8" w:name="_Toc25847"/>
      <w:r>
        <w:t>2.1 Java与TypeScript编程语言</w:t>
      </w:r>
      <w:bookmarkEnd w:id="8"/>
    </w:p>
    <w:p w14:paraId="78A7537B">
      <w:pPr>
        <w:jc w:val="both"/>
      </w:pPr>
      <w:r>
        <w:t>Java是一种面向对象、静态类型的编程语言，通常将源程序编译为字节码并在Java虚拟机中运行，提供类、接口、泛型和异常处理等机制。本文后端采用JDK 17，以Java接口定义跨服务契约，以实体和数据传输对象表达企业、培训计划及学习会话等业务信息。明确的参数与返回类型有助于在编译阶段发现接口使用错误，适合组织业务规则较多、需要分层维护的服务端程序。</w:t>
      </w:r>
    </w:p>
    <w:p w14:paraId="1EAC46C5">
      <w:pPr>
        <w:jc w:val="both"/>
      </w:pPr>
      <w:r>
        <w:t>TypeScript在JavaScript基础上增加静态类型描述，编译后生成供浏览器执行的JavaScript。本文前端采用TypeScript定义接口返回值、页面状态和学习消息结构，使课程时长、会话状态等字段在页面调用时具有明确类型。类型检查用于发现开发阶段的字段和调用错误，运行时的数据合法性与访问权限仍由服务端校验。前后端使用不同语言，通过HTTP接口与WebSocket消息交换数据。</w:t>
      </w:r>
    </w:p>
    <w:p w14:paraId="5EF59FBF">
      <w:pPr>
        <w:pStyle w:val="4"/>
        <w:pageBreakBefore w:val="0"/>
      </w:pPr>
      <w:bookmarkStart w:id="9" w:name="_Toc13618"/>
      <w:r>
        <w:t>2.2 Spring Boot与Vue开发框架</w:t>
      </w:r>
      <w:bookmarkEnd w:id="9"/>
    </w:p>
    <w:p w14:paraId="0C947DE3">
      <w:pPr>
        <w:jc w:val="both"/>
      </w:pPr>
      <w:r>
        <w:t>Spring Boot在Spring框架基础上提供自动配置和依赖集成能力，可以依据工程依赖与配置创建所需组件，减少应用启动和基础设施接入中的重复配置。本文使用Spring Boot 3.5.3组织各后端服务，通过依赖注入连接接口处理、业务逻辑和数据访问组件，并在业务方法中管理本地事务。统一父工程集中管理依赖版本，各服务保留独立启动入口和配置，便于按职责开发与维护。Spring Cloud Gateway承接外部请求路由，Spring Security支撑Web接口的认证与授权处理。</w:t>
      </w:r>
    </w:p>
    <w:p w14:paraId="4EB24BD1">
      <w:pPr>
        <w:jc w:val="both"/>
      </w:pPr>
      <w:r>
        <w:t>Vue 3采用声明式视图与响应式状态组织用户界面，能够将页面拆分为可复用组件。当任务进度、考试状态等数据变化时，界面按状态更新。本文使用Vue构建管理端和学员端，结合Element Plus统一表单、表格与弹窗，使用Vue Router管理页面路由，使用Pinia维护共享状态，并由Vite完成开发启动和构建。组件化方式便于复用查询、编辑与状态提示逻辑，前端权限控制用于交互反馈，业务访问仍以服务端授权为准。</w:t>
      </w:r>
    </w:p>
    <w:p w14:paraId="0F4999DD">
      <w:pPr>
        <w:pStyle w:val="4"/>
        <w:pageBreakBefore w:val="0"/>
      </w:pPr>
      <w:bookmarkStart w:id="10" w:name="_Toc19005"/>
      <w:r>
        <w:t>2.3 Dubbo远程调用与Nacos服务治理</w:t>
      </w:r>
      <w:bookmarkEnd w:id="10"/>
    </w:p>
    <w:p w14:paraId="1ED36442">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E6369D1">
      <w:pPr>
        <w:jc w:val="both"/>
      </w:pPr>
      <w:r>
        <w:t>Nacos提供服务注册发现与配置管理能力。服务提供方注册实例信息，调用方据此发现可调用的服务，配置中心则集中管理应用配置。本文将Nacos用于Dubbo服务发现及配置管理，Dubbo负责服务接口的远程调用，两者共同支撑管理、培训和学习服务之间的协作。业务数据仍由所属服务维护，注册中心不承担课程、学时或考试成绩的存储职责。</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从调用结构可以确认，批量读取控制了远程调用规模；本文据此分析访问组织方式，不据此量化响应时间的改善。</w:t>
      </w:r>
    </w:p>
    <w:p w14:paraId="7E989003">
      <w:pPr>
        <w:pStyle w:val="4"/>
        <w:pageBreakBefore w:val="0"/>
      </w:pPr>
      <w:bookmarkStart w:id="11" w:name="_Toc18394"/>
      <w:r>
        <w:t>2.4 MySQL数据库与持久化技术</w:t>
      </w:r>
      <w:bookmarkEnd w:id="11"/>
    </w:p>
    <w:p w14:paraId="2CE20219">
      <w:pPr>
        <w:jc w:val="both"/>
      </w:pPr>
      <w:r>
        <w:t>MySQL是关系型数据库，通过数据表、SQL查询与约束组织结构化数据，InnoDB存储引擎支持事务、行级锁和并发控制。企业、用户、课程、参训任务及考试成绩具有明确字段和关联关系，因此本文采用MySQL保存业务事实，并利用索引与唯一约束支持查询和重复数据控制。管理、培训和学习服务分别维护所属数据库，跨服务读取通过接口完成，避免业务服务直接访问其他服务的数据表。</w:t>
      </w:r>
    </w:p>
    <w:p w14:paraId="5B8F5B3A">
      <w:pPr>
        <w:jc w:val="both"/>
      </w:pPr>
      <w:r>
        <w:t>MyBatis-Flex是基于MyBatis的数据持久化框架，提供实体映射、Mapper接口及查询构建能力，用于连接Java对象与关系型数据库。本文使用MyBatis-Flex 1.11.4组织数据访问，将企业归属、对象状态和分页等条件加入查询。数据库结构由Flyway按版本执行迁移脚本管理，使建表、索引和后续字段变更具有可追踪的顺序；已使用的迁移保留，结构变化通过新增迁移表达。持久化框架负责数据访问，学时累计和培训完成条件仍由业务逻辑判断。</w:t>
      </w:r>
    </w:p>
    <w:p w14:paraId="0BD957DF">
      <w:pPr>
        <w:jc w:val="both"/>
      </w:pPr>
      <w:r>
        <w:t>Redis以内存中的键值及数据结构提供快速访问，并支持设置数据有效期。本文将其用于认证会话、登录版本和授权缓存，以支撑登录状态检查与权限信息读取。MySQL中的业务记录需要长期保存，Redis中的会话和缓存则具有不同生命周期，因此系统不以缓存内容替代学习档案，也不将缓存失效直接解释为学员已经完成或未完成培训。</w:t>
      </w:r>
    </w:p>
    <w:p w14:paraId="4370E6A9">
      <w:pPr>
        <w:pStyle w:val="4"/>
        <w:pageBreakBefore w:val="0"/>
      </w:pPr>
      <w:bookmarkStart w:id="12" w:name="_Toc28405"/>
      <w:r>
        <w:t>2.5 WebSocket通信与学习状态控制</w:t>
      </w:r>
      <w:bookmarkEnd w:id="12"/>
    </w:p>
    <w:p w14:paraId="0C4DD739">
      <w:pPr>
        <w:jc w:val="both"/>
      </w:pPr>
      <w:r>
        <w:t>WebSocket在建立连接后提供浏览器与服务端之间的双向消息通道，适合持续上报学习进度和主动推送核验状态。本文由Realtime服务维护学习连接，将播放事件转交学习服务处理，并向前端返回确认结果或状态通知。连接持续存在并不等于业务消息已经成功保存，因此系统还使用请求标识、事件序号、心跳及重连后的状态同步处理重复、迟到和中断场景，最终学时以服务端受理结果为准。</w:t>
      </w:r>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tabs>
          <w:tab w:val="center" w:pos="4536"/>
          <w:tab w:val="right" w:pos="9072"/>
        </w:tabs>
        <w:ind w:left="0" w:right="0" w:firstLine="0"/>
        <w:jc w:val="left"/>
      </w:pPr>
      <w:r>
        <w:tab/>
      </w:r>
      <m:oMath>
        <m:r>
          <m:rPr/>
          <m:t>Δτ = min{max(0, Δt), max(0, Δp), G, max(0, R)}</m:t>
        </m:r>
      </m:oMath>
      <w:r>
        <w:tab/>
      </w:r>
      <w:r>
        <w:t>（2-1）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3" w:name="_Toc22339"/>
      <w:r>
        <w:t>2.6 RabbitMQ与消息最终一致性</w:t>
      </w:r>
      <w:bookmarkEnd w:id="13"/>
    </w:p>
    <w:p w14:paraId="52D2259B">
      <w:pPr>
        <w:jc w:val="both"/>
      </w:pPr>
      <w:r>
        <w:t>RabbitMQ是消息中间件，生产者把消息发送到交换机，由绑定关系将消息路由至队列，再交由消费者处理。本文通过消息传递学习开始与完成结果，使学习进度保存和培训任务状态更新可以分开执行。队列缓冲有助于协调生产与消费过程，但消息代理本身不能替代跨服务业务一致性设计，仍需结合本地事务、重试和消费去重确定结果。</w:t>
      </w:r>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4" w:name="_Toc3373"/>
      <w:r>
        <w:t>2.7 OpenCV与人脸核验技术</w:t>
      </w:r>
      <w:bookmarkEnd w:id="14"/>
    </w:p>
    <w:p w14:paraId="177FFEE0">
      <w:pPr>
        <w:jc w:val="both"/>
      </w:pPr>
      <w:r>
        <w:t>OpenCV提供图像处理与计算机视觉接口。本文通过Java适配模块调用OpenCV 4.9.0及已有模型，对提交图像进行解码、人脸检测、对齐和特征提取，再执行一对一特征比较。适配模块向业务层返回核验结果，学习服务据此处理核验任务与会话状态，从而将图像算法调用与培训流程规则分离。</w:t>
      </w:r>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项目使用已经提供的模型进行推理，没有重新训练模型，也不把原论文的基准指标直接作为本系统指标。人脸检测、身份相似度比较与活体检测具有不同目标，本文采用前两者组织身份抽验流程。</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本文在实现层面采用私有存储和访问控制处理照片数据，应用治理的范围与局限见7.2节。</w:t>
      </w:r>
    </w:p>
    <w:p w14:paraId="77582DA0">
      <w:pPr>
        <w:pStyle w:val="4"/>
        <w:pageBreakBefore w:val="0"/>
      </w:pPr>
      <w:bookmarkStart w:id="15" w:name="_Toc18398"/>
      <w:r>
        <w:t>2.8 OSS对象存储与媒体访问</w:t>
      </w:r>
      <w:bookmarkEnd w:id="15"/>
    </w:p>
    <w:p w14:paraId="650BAAB7">
      <w:pPr>
        <w:jc w:val="both"/>
      </w:pPr>
      <w:r>
        <w:t>对象存储按对象标识保存文件内容及元数据，适合管理视频和图像等非结构化资源。本文采用阿里云OSS私有对象存储保存课件与照片，MySQL保留对象引用及业务元数据。视频上传由浏览器在授权范围内直接完成，后端负责授权签发和元数据校验，减少大文件经Web API转发的负担。播放及照片预览前仍需检查企业归属和业务访问条件，并使用具有有效期的访问授权。</w:t>
      </w:r>
    </w:p>
    <w:p w14:paraId="479645BC">
      <w:pPr>
        <w:jc w:val="both"/>
      </w:pPr>
      <w:r>
        <w:t>HTTP范围请求允许客户端按字节区间获取资源，是视频定位与分段读取的协议基础。</w:t>
      </w:r>
      <w:r>
        <w:rPr>
          <w:vertAlign w:val="superscript"/>
        </w:rPr>
        <w:t>[20]</w:t>
      </w:r>
      <w:r>
        <w:t>本文将媒体读取与学习计时分开处理：浏览器负责获取和播放视频，学习服务依据事件和状态计算有效学时。能够取得媒体内容并不直接代表完成规定学时，媒体访问授权与培训完成判定分别承担资源保护和业务规则控制职责。</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用例从参与者能够观察到的业务目标提取。图中的小人表示参与者，椭圆表示用例，矩形表示系统边界，实线表示交互关系。业务操作以身份认证及相应授权为前置条件；用例之间不以执行先后顺序连接。</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系统的技术可行性主要来自业务职责与所选技术能力的对应关系。Java与Spring Boot承担服务端业务处理，Vue和TypeScript组织管理端与学员端页面；Dubbo用于管理、培训和学习服务之间的接口调用，MySQL保存任务、进度和结果，Redis保存认证与授权相关缓存。WebSocket提供学习过程的双向通信，RabbitMQ配合本地事务消息支持学习结果的异步同步。上述组件均已在项目中形成明确接入位置，能够支撑本研究所需的分层实现和规则分析。</w:t>
      </w:r>
    </w:p>
    <w:p w14:paraId="07F2528D">
      <w:pPr>
        <w:keepNext w:val="0"/>
        <w:spacing w:line="360" w:lineRule="auto"/>
        <w:ind w:firstLine="480"/>
        <w:jc w:val="both"/>
      </w:pPr>
      <w:r>
        <w:rPr>
          <w:rFonts w:ascii="Times New Roman" w:hAnsi="Times New Roman" w:eastAsia="宋体"/>
          <w:b w:val="0"/>
          <w:color w:val="000000"/>
          <w:sz w:val="24"/>
        </w:rPr>
        <w:t>实现条件包括Java 17运行环境、关系数据库及中间件、支持视频播放和摄像头访问的浏览器，以及课程媒体与人脸模型。私有视频和核验照片通过对象存储接口管理，图像比较由学习服务中的人脸适配器完成。现有迁移、领域测试和归档联调结果为关键机制提供依据；其验证范围分别在第6章说明。该技术路线适用于单实例毕业设计演示，生产容量、多实例连接协调和完整真实媒体闭环不能由技术选型本身推导。</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系统开发采用已有计算机、浏览器和可获得的开发工具，主要投入为需求梳理、编码、调试和维护时间。基础框架与数据库具备可用于开发研究的开源实现，能够降低从零建设通用能力的工作量。可获得源代码并不等于部署与运营没有成本，实际使用仍需承担计算资源、存储空间、网络传输和日常维护费用。</w:t>
      </w:r>
    </w:p>
    <w:p w14:paraId="216299FE">
      <w:pPr>
        <w:keepNext w:val="0"/>
        <w:spacing w:line="360" w:lineRule="auto"/>
        <w:ind w:firstLine="480"/>
        <w:jc w:val="both"/>
      </w:pPr>
      <w:r>
        <w:rPr>
          <w:rFonts w:ascii="Times New Roman" w:hAnsi="Times New Roman" w:eastAsia="宋体"/>
          <w:b w:val="0"/>
          <w:color w:val="000000"/>
          <w:sz w:val="24"/>
        </w:rPr>
        <w:t>运行成本集中在服务及中间件进程、视频与照片存储、媒体访问流量和备份运维。视频可以由授权后的浏览器直接访问对象存储，业务服务负责权限校验和学习记录，减少在业务接口中转发大体积媒体的负担。保存发布快照和过程日志会增加数据量，但换取历史记录的稳定解释和异常追溯能力。毕业设计阶段可复用单机环境并采用有限的自制样本；企业实际投入应按用户规模、媒体大小和保存期限测算。本文不据此给出未经测量的费用节省比例或投资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使用条件包括可用网络、支持课程编码格式的浏览器，以及启用人脸核验时可授权访问的摄像头和登记照。断线后界面提示重新连接并读取服务端已确认状态，学时不足时展示差额并提供补学入口；抽验显示响应时限，结束任务保留只读档案。上述交互降低了理解后台规则的负担，但操作可行性仍依赖企业完成账号准备、资源维护和必要培训，不能据页面设计直接认定已完成大规模用户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结构描述用户能够使用的业务能力，部署职责由总体架构承接。同一个业务模块可以调用多个服务，例如学员档案由页面接口组合培训任务与学习进度，学习核验则同时涉及照片授权和学习会话。模块之间通过明确接口协作，数据访问范围仍由服务端权限及归属检查限定。</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系统数据划分为管理、培训和学习三个逻辑数据库，分别由对应业务服务维护。概念设计以企业、用户、培训计划、参训任务和学习会话为主线，实体用矩形表示，标识及主要业务属性用椭圆表示，联系用菱形表示。下划线属性为实体标识，1、N及0..1、0..N分别表示联系的基数和可选性。图4-3给出核心业务总览，图4-4至图4-6展开各业务域的主要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平台账号允许没有企业归属，图中企业与学员关系用于表达培训业务范围。</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发布时将课程规则与课件目录冻结到计划快照，并为每名参训学员建立任务。需要考试的计划引用试卷，试卷题目保留题库内容的固定快照。一个任务最多形成一条考试记录，记录下保存各题答案；0..1同时包含尚未开考及无需考试的情况。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及课件进度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6B9BD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6E566A6">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8C9E2E3">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95B2EDF">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D95E61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0AE3573">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3F80F5E">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F20C4BD">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人员管理界面见图5-1。</w:t>
      </w:r>
    </w:p>
    <w:p w14:paraId="722B4F13">
      <w:pPr>
        <w:keepNext/>
        <w:keepLines/>
        <w:spacing w:before="120" w:after="0" w:line="240" w:lineRule="auto"/>
        <w:ind w:left="0" w:right="0" w:firstLine="0"/>
        <w:jc w:val="center"/>
      </w:pPr>
      <w:r>
        <w:drawing>
          <wp:inline distT="0" distB="0" distL="114300" distR="114300">
            <wp:extent cx="5327650" cy="2996565"/>
            <wp:effectExtent l="0" t="0" r="6350" b="13335"/>
            <wp:docPr id="17" name="图5-1 人员管理界面（演示数据截图）" descr="当前系统界面演示数据截图；人员管理界面；部门、绑定车牌、角色、账号状态、人脸登记状态及人员管理操作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1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328000" cy="2997000"/>
                    </a:xfrm>
                    <a:prstGeom prst="rect">
                      <a:avLst/>
                    </a:prstGeom>
                  </pic:spPr>
                </pic:pic>
              </a:graphicData>
            </a:graphic>
          </wp:inline>
        </w:drawing>
      </w:r>
    </w:p>
    <w:p w14:paraId="7CEE99EE">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从实现逻辑可以确认，后端承担授权与元数据检查，存储服务承担资源传输，浏览器承担媒体解码，各环节通过对象引用与短期访问地址衔接。课程资源管理界面见图5-2。</w:t>
      </w:r>
    </w:p>
    <w:p w14:paraId="2F94B4C9">
      <w:pPr>
        <w:keepNext/>
        <w:keepLines/>
        <w:spacing w:before="120" w:after="0" w:line="240" w:lineRule="auto"/>
        <w:ind w:left="0" w:right="0" w:firstLine="0"/>
        <w:jc w:val="center"/>
      </w:pPr>
      <w:r>
        <w:drawing>
          <wp:inline distT="0" distB="0" distL="114300" distR="114300">
            <wp:extent cx="5327650" cy="2996565"/>
            <wp:effectExtent l="0" t="0" r="6350" b="13335"/>
            <wp:docPr id="18" name="图5-2 课程资源管理界面（演示数据截图）" descr="当前系统界面演示数据截图；课程资源管理界面；课程规则、规定学时、视频课件名称、时长及课件列表；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2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328000" cy="2997000"/>
                    </a:xfrm>
                    <a:prstGeom prst="rect">
                      <a:avLst/>
                    </a:prstGeom>
                  </pic:spPr>
                </pic:pic>
              </a:graphicData>
            </a:graphic>
          </wp:inline>
        </w:drawing>
      </w:r>
    </w:p>
    <w:p w14:paraId="6265CEA9">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培训计划发布快照界面见图5-3。</w:t>
      </w:r>
    </w:p>
    <w:p w14:paraId="39ED12A1">
      <w:pPr>
        <w:keepNext/>
        <w:keepLines/>
        <w:spacing w:before="120" w:after="0" w:line="240" w:lineRule="auto"/>
        <w:ind w:left="0" w:right="0" w:firstLine="0"/>
        <w:jc w:val="center"/>
      </w:pPr>
      <w:r>
        <w:drawing>
          <wp:inline distT="0" distB="0" distL="114300" distR="114300">
            <wp:extent cx="5327650" cy="2996565"/>
            <wp:effectExtent l="0" t="0" r="6350" b="13335"/>
            <wp:docPr id="19" name="图5-3 培训计划发布快照界面（演示数据截图）" descr="当前系统界面演示数据截图；培训计划发布快照界面；培训周期、完成模式及参训人员，展开课程显示发布快照及课件规则；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3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328000" cy="2997000"/>
                    </a:xfrm>
                    <a:prstGeom prst="rect">
                      <a:avLst/>
                    </a:prstGeom>
                  </pic:spPr>
                </pic:pic>
              </a:graphicData>
            </a:graphic>
          </wp:inline>
        </w:drawing>
      </w:r>
    </w:p>
    <w:p w14:paraId="7D2ADEF1">
      <w:pPr>
        <w:pStyle w:val="15"/>
        <w:keepNext w:val="0"/>
        <w:keepLines/>
      </w:pPr>
      <w:r>
        <w:t>图5-3 培训计划发布快照界面</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明确了实验分析的业务边界。</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视频学习与补学界面见图5-4。</w:t>
      </w:r>
    </w:p>
    <w:p w14:paraId="198B12ED">
      <w:pPr>
        <w:keepNext/>
        <w:keepLines/>
        <w:spacing w:before="120" w:after="0" w:line="240" w:lineRule="auto"/>
        <w:ind w:left="0" w:right="0" w:firstLine="0"/>
        <w:jc w:val="center"/>
      </w:pPr>
      <w:r>
        <w:drawing>
          <wp:inline distT="0" distB="0" distL="114300" distR="114300">
            <wp:extent cx="5327650" cy="2996565"/>
            <wp:effectExtent l="0" t="0" r="6350" b="13335"/>
            <wp:docPr id="20" name="图5-4 视频学习与补学界面（演示数据截图）" descr="当前系统界面演示数据截图；视频学习与补学界面；播放器、课件列表、有效学时与规定学时、补学提示及从头补学当前课件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4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328000" cy="2997000"/>
                    </a:xfrm>
                    <a:prstGeom prst="rect">
                      <a:avLst/>
                    </a:prstGeom>
                  </pic:spPr>
                </pic:pic>
              </a:graphicData>
            </a:graphic>
          </wp:inline>
        </w:drawing>
      </w:r>
    </w:p>
    <w:p w14:paraId="7B93E780">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学习过程中的人脸抽验界面见图5-5。</w:t>
      </w:r>
    </w:p>
    <w:p w14:paraId="18DCA8AC">
      <w:pPr>
        <w:keepNext/>
        <w:keepLines/>
        <w:spacing w:before="120" w:after="0" w:line="240" w:lineRule="auto"/>
        <w:ind w:left="0" w:right="0" w:firstLine="0"/>
        <w:jc w:val="center"/>
      </w:pPr>
      <w:r>
        <w:drawing>
          <wp:inline distT="0" distB="0" distL="114300" distR="114300">
            <wp:extent cx="5327650" cy="2996565"/>
            <wp:effectExtent l="0" t="0" r="6350" b="13335"/>
            <wp:docPr id="21" name="图5-5 学习人脸抽验界面（演示数据截图）" descr="当前系统界面演示数据截图；学习人脸抽验界面；学习暂停提示、倒计时、剩余提交次数、拍照与提交按钮，照片区域遮挡；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5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328000" cy="2997000"/>
                    </a:xfrm>
                    <a:prstGeom prst="rect">
                      <a:avLst/>
                    </a:prstGeom>
                  </pic:spPr>
                </pic:pic>
              </a:graphicData>
            </a:graphic>
          </wp:inline>
        </w:drawing>
      </w:r>
    </w:p>
    <w:p w14:paraId="2DC00B0E">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在线考试作答界面见图5-6。</w:t>
      </w:r>
    </w:p>
    <w:p w14:paraId="13B9C5A6">
      <w:pPr>
        <w:keepNext/>
        <w:keepLines/>
        <w:spacing w:before="120" w:after="0" w:line="240" w:lineRule="auto"/>
        <w:ind w:left="0" w:right="0" w:firstLine="0"/>
        <w:jc w:val="center"/>
      </w:pPr>
      <w:r>
        <w:drawing>
          <wp:inline distT="0" distB="0" distL="114300" distR="114300">
            <wp:extent cx="5327650" cy="2996565"/>
            <wp:effectExtent l="0" t="0" r="6350" b="13335"/>
            <wp:docPr id="22" name="图5-6 在线考试作答界面（演示数据截图）" descr="当前系统界面演示数据截图；在线考试作答界面；考试倒计时、题目及选项、答题进度、答案保存状态和交卷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6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328000" cy="2997000"/>
                    </a:xfrm>
                    <a:prstGeom prst="rect">
                      <a:avLst/>
                    </a:prstGeom>
                  </pic:spPr>
                </pic:pic>
              </a:graphicData>
            </a:graphic>
          </wp:inline>
        </w:drawing>
      </w:r>
    </w:p>
    <w:p w14:paraId="4CE84E6D">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学习档案界面见图5-7。</w:t>
      </w:r>
    </w:p>
    <w:p w14:paraId="241C11F7">
      <w:pPr>
        <w:keepNext/>
        <w:keepLines/>
        <w:spacing w:before="120" w:after="0" w:line="240" w:lineRule="auto"/>
        <w:ind w:left="0" w:right="0" w:firstLine="0"/>
        <w:jc w:val="center"/>
      </w:pPr>
      <w:r>
        <w:drawing>
          <wp:inline distT="0" distB="0" distL="114300" distR="114300">
            <wp:extent cx="5327650" cy="2996565"/>
            <wp:effectExtent l="0" t="0" r="6350" b="13335"/>
            <wp:docPr id="23" name="图5-7 学员学习档案界面（演示数据截图）" descr="当前系统界面演示数据截图；学员学习档案界面；计划状态、有效学时与规定学时、考试成绩、培训状态及查看档案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7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328000" cy="2997000"/>
                    </a:xfrm>
                    <a:prstGeom prst="rect">
                      <a:avLst/>
                    </a:prstGeom>
                  </pic:spPr>
                </pic:pic>
              </a:graphicData>
            </a:graphic>
          </wp:inline>
        </w:drawing>
      </w:r>
    </w:p>
    <w:p w14:paraId="46818453">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管理员学时监管与抽验记录界面见图5-8。</w:t>
      </w:r>
    </w:p>
    <w:p w14:paraId="0393DC50">
      <w:pPr>
        <w:keepNext/>
        <w:keepLines/>
        <w:spacing w:before="120" w:after="0" w:line="240" w:lineRule="auto"/>
        <w:ind w:left="0" w:right="0" w:firstLine="0"/>
        <w:jc w:val="center"/>
      </w:pPr>
      <w:r>
        <w:drawing>
          <wp:inline distT="0" distB="0" distL="114300" distR="114300">
            <wp:extent cx="5327650" cy="2996565"/>
            <wp:effectExtent l="0" t="0" r="6350" b="13335"/>
            <wp:doc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328000" cy="2997000"/>
                    </a:xfrm>
                    <a:prstGeom prst="rect">
                      <a:avLst/>
                    </a:prstGeom>
                  </pic:spPr>
                </pic:pic>
              </a:graphicData>
            </a:graphic>
          </wp:inline>
        </w:drawing>
      </w:r>
    </w:p>
    <w:p w14:paraId="40E7C064">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按版本及执行记录分别引用：后端采用2026年10月9日全量复验，前端与既有接口、心跳实验采用原归档结果，版本定位见附录A。实现说明依据固定源码快照核查，各项结论仅适用于记录覆盖的代码、输入和环境；不同批次不累加测试样本。</w:t>
      </w:r>
    </w:p>
    <w:p w14:paraId="2EB0D0D3">
      <w:pPr>
        <w:jc w:val="both"/>
      </w:pPr>
      <w:r>
        <w:t>本次后端全量复验采用JDK 17，在ECS的独立Maven容器中执行clean verify；Docker提供Testcontainers MySQL，RabbitMQ、私有OSS和授权照片模型均真实接入。本机接口与心跳历史实验采用Windows、Edge和单实例服务，通信使用HTTP与WS。各组件环境条件以相应归档记录为准，演示账号与授权测试素材仅用于对应场景。</w:t>
      </w:r>
    </w:p>
    <w:p w14:paraId="694420F5">
      <w:pPr>
        <w:jc w:val="both"/>
      </w:pPr>
      <w:r>
        <w:t>实现级核查确认了人员车辆绑定、个人资料、签到签退核验凭据、照片留档、自然日周期、先学后考、提前结业及播放恢复等机制，并检查了权限、状态和异常处理分支。源码说明与本次测试结果分别引用，测试覆盖范围以实际用例为准。</w:t>
      </w:r>
    </w:p>
    <w:p w14:paraId="24F01EBB">
      <w:pPr>
        <w:jc w:val="both"/>
      </w:pPr>
      <w:r>
        <w:t>本次后端全量复验覆盖确定输入下的规则、数据库行为、消息路由、真实私有OSS对象操作，以及授权照片的同人不同照、不同人、多人和无人脸等模型场景。OSS采用196608字节合成内容验证存储协议；模型使用默认相似度阈值0.363，结果只支持指定输入下的判断，不代表识别准确率。浏览器解码组成的完整培训闭环、真实摄像头采集、真实播放学时差额及独立学员并发容量仍不属于已验证结果；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表6-1分列10月9日后端全量复验与9月9日前端历史归档。数据库、RabbitMQ、OSS及模型集成测试属于后端266项的子集；前端单元、条件守卫和UI契约分别计数。本次未重跑前端，不与后端相加构造系统通过率。</w:t>
      </w:r>
    </w:p>
    <w:p w14:paraId="326341F0">
      <w:pPr>
        <w:pStyle w:val="15"/>
      </w:pPr>
      <w:r>
        <w:t>表6-1 分版本自动化测试结果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后端全量复验</w:t>
            </w:r>
          </w:p>
        </w:tc>
        <w:tc>
          <w:tcPr>
            <w:tcW w:w="1020" w:type="dxa"/>
            <w:vAlign w:val="center"/>
          </w:tcPr>
          <w:p w14:paraId="50A25080">
            <w:pPr>
              <w:keepNext w:val="0"/>
              <w:spacing w:before="40" w:after="40" w:line="300" w:lineRule="auto"/>
              <w:ind w:firstLine="0"/>
              <w:jc w:val="center"/>
            </w:pPr>
            <w:r>
              <w:rPr>
                <w:sz w:val="21"/>
              </w:rPr>
              <w:t>266</w:t>
            </w:r>
          </w:p>
        </w:tc>
        <w:tc>
          <w:tcPr>
            <w:tcW w:w="1020" w:type="dxa"/>
            <w:vAlign w:val="center"/>
          </w:tcPr>
          <w:p w14:paraId="34E4D413">
            <w:pPr>
              <w:keepNext w:val="0"/>
              <w:spacing w:before="40" w:after="40" w:line="300" w:lineRule="auto"/>
              <w:ind w:firstLine="0"/>
              <w:jc w:val="center"/>
            </w:pPr>
            <w:r>
              <w:rPr>
                <w:sz w:val="21"/>
              </w:rPr>
              <w:t>266</w:t>
            </w:r>
          </w:p>
        </w:tc>
        <w:tc>
          <w:tcPr>
            <w:tcW w:w="1020" w:type="dxa"/>
            <w:vAlign w:val="center"/>
          </w:tcPr>
          <w:p w14:paraId="6FB8BA19">
            <w:pPr>
              <w:keepNext w:val="0"/>
              <w:spacing w:before="40" w:after="40" w:line="300" w:lineRule="auto"/>
              <w:ind w:firstLine="0"/>
              <w:jc w:val="center"/>
            </w:pPr>
            <w:r>
              <w:rPr>
                <w:sz w:val="21"/>
              </w:rPr>
              <w:t>0</w:t>
            </w:r>
          </w:p>
        </w:tc>
        <w:tc>
          <w:tcPr>
            <w:tcW w:w="3288" w:type="dxa"/>
            <w:vAlign w:val="center"/>
          </w:tcPr>
          <w:p w14:paraId="7042ECA6">
            <w:pPr>
              <w:keepNext w:val="0"/>
              <w:spacing w:before="40" w:after="40" w:line="300" w:lineRule="auto"/>
              <w:ind w:firstLine="0"/>
              <w:jc w:val="left"/>
            </w:pPr>
            <w:r>
              <w:rPr>
                <w:sz w:val="21"/>
              </w:rPr>
              <w:t>61个测试类，失败和错误均为0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9</w:t>
            </w:r>
          </w:p>
        </w:tc>
        <w:tc>
          <w:tcPr>
            <w:tcW w:w="1020" w:type="dxa"/>
            <w:vAlign w:val="center"/>
          </w:tcPr>
          <w:p w14:paraId="6AC7D7BA">
            <w:pPr>
              <w:keepNext w:val="0"/>
              <w:spacing w:before="40" w:after="40" w:line="300" w:lineRule="auto"/>
              <w:ind w:firstLine="0"/>
              <w:jc w:val="center"/>
            </w:pPr>
            <w:r>
              <w:rPr>
                <w:sz w:val="21"/>
              </w:rPr>
              <w:t>9</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9月9日归档；14个文件</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9月9日归档；配置缺失拒绝</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9月9日归档；接口夹具</w:t>
            </w:r>
          </w:p>
        </w:tc>
      </w:tr>
    </w:tbl>
    <w:p w14:paraId="4A3943C8">
      <w:pPr>
        <w:spacing w:after="80" w:line="240" w:lineRule="auto"/>
      </w:pPr>
    </w:p>
    <w:p w14:paraId="2056843E">
      <w:pPr>
        <w:jc w:val="both"/>
      </w:pPr>
      <w:r>
        <w:t>2026年10月9日归档后端测试共266项，全部执行通过，失败、错误与跳过均为0，涉及61个测试类；真实OSS与授权照片模型两项均实际执行。上述数量表示测试清单规模，不代表代码覆盖率、现实身份识别准确率或系统正确率。</w:t>
      </w:r>
    </w:p>
    <w:p w14:paraId="414B04D4">
      <w:pPr>
        <w:jc w:val="both"/>
      </w:pPr>
      <w:r>
        <w:t>数据库执行门禁读取管理、培训与学习三个服务的测试报告，并检查报告完整性及跳过状态。本次管理库8项、培训库9项、学习库1项全部执行通过，覆盖相应迁移、查询隔离、唯一约束和事务场景。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10月9日后端全量266项测试执行通过、0项跳过，其中18项MySQL集成测试及真实OSS、授权照片模型和RabbitMQ实验全部通过。9月9日前端归档的55项单元、4项条件守卫和5项UI契约测试通过。合成计时结果解释保守累计的差额，数据库、消息与存储模型测试支持指定场景下的规则和组件行为。研究结论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授权照片模型测试验证指定样本的检测和身份比较。测试未采用代表性学员样本，不估计真人识别准确率、活体检测或攻击防护效果。模型阈值与复杂拍摄条件仍需独立评价。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我的导师王鲁瑞老师在课题研究和论文撰写过程中给予的悉心指导与帮助。王老师在研究思路梳理、论文结构完善及内容修改等方面提出了宝贵建议，帮助我明确研究重点、完善论文内容。王老师严谨的治学态度和认真负责的工作作风使我受益匪浅，在此致以诚挚的感谢。</w:t>
      </w:r>
    </w:p>
    <w:p w14:paraId="4492D7C0">
      <w:pPr>
        <w:jc w:val="both"/>
      </w:pPr>
      <w:r>
        <w:rPr>
          <w:rFonts w:hint="eastAsia"/>
        </w:rPr>
        <w:t>本项目的开发和验证使用了 Apache Dubbo、Spring、Vue、OpenCV 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与本次后端执行采用13d6463，其业务源码与既有96a8d84快照一致；后端统计采用2026年10月9日全量复验，前端仍采用7ca2f94对应的9月9日归档作业。实验统计仅适用于各记录覆盖的代码与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后端全量复验结果见docs/test/acceptance-2026-10-09.md及docs/test/backend-2026-10-09.json；9月9日前端及历史后端结果保留于docs/test/acceptance-2026-09-09.md与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后端全量复现须具备Docker、RabbitMQ、私有OSS和授权照片模型条件，并启用相应开关及传入模型参数，完整配置和归档命令见docs/test/acceptance-2026-10-09.md。数据库报告检查命令为python3 scripts/check-database-tests.py。实验记录以独立任务和事件标识关联输入、输出及环境，操作规范本身不构成测试结果。</w:t>
      </w:r>
    </w:p>
    <w:p w14:paraId="57FAD649">
      <w:pPr>
        <w:pStyle w:val="170"/>
        <w:jc w:val="both"/>
      </w:pPr>
      <w:r>
        <w:t>9月9日后端CI历史作业：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jc w:val="both"/>
      </w:pPr>
      <w:r>
        <w:t>9月9日前端CI归档作业：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both"/>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both"/>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both"/>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both"/>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both"/>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both"/>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both"/>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both"/>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both"/>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both"/>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both"/>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both"/>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both"/>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both"/>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FC47ABB"/>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10078</Words>
  <Characters>12536</Characters>
  <Lines>0</Lines>
  <Paragraphs>0</Paragraphs>
  <TotalTime>1</TotalTime>
  <ScaleCrop>false</ScaleCrop>
  <LinksUpToDate>false</LinksUpToDate>
  <CharactersWithSpaces>13088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2026-10-10T09:36:55Z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