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Question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在许多模式分类问题中，可以选择将模式分配给一个c类，或者拒绝它，因为它无法识别。如果拒绝的代价不是太高，拒绝可能是一个可取的行动。让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132455" cy="94932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其中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27" o:spt="75" type="#_x0000_t75" style="height:21.2pt;width:17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是选择第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29" o:spt="75" type="#_x0000_t75" style="height:13.95pt;width: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个动作，拒绝所引起的损失，而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30" o:spt="75" type="#_x0000_t75" style="height:22.15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是产生替代误差所引起的损失。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证明：在选择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31" o:spt="75" type="#_x0000_t75" style="height:21.85pt;width:16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时，如果对于所有的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2" o:spt="75" type="#_x0000_t75" style="height:15pt;width:1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33" o:spt="75" type="#_x0000_t75" style="height:40pt;width:117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或者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035" o:spt="75" alt="" type="#_x0000_t75" style="height:41.8pt;width:99.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，则获得最小风险，否则拒绝。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52" o:spt="75" alt="" type="#_x0000_t75" style="height:23pt;width:43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会怎么样？如果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37" o:spt="75" alt="" type="#_x0000_t75" style="height:23.4pt;width:46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会怎么样？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 xml:space="preserve">Question </w:t>
      </w:r>
      <w:r>
        <w:rPr>
          <w:rFonts w:hint="eastAsia"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position w:val="-26"/>
          <w:sz w:val="28"/>
          <w:szCs w:val="28"/>
          <w:lang w:val="en-US" w:eastAsia="zh-CN"/>
        </w:rPr>
        <w:object>
          <v:shape id="_x0000_i1038" o:spt="75" alt="" type="#_x0000_t75" style="height:36.1pt;width:114.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为一类二维问题，其中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1" o:spt="75" alt="" type="#_x0000_t75" style="height:20.6pt;width:117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1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证明最小误差概率为下式：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90700" cy="545465"/>
            <wp:effectExtent l="0" t="0" r="7620" b="317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center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085850" cy="403860"/>
            <wp:effectExtent l="0" t="0" r="11430" b="762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利用不等式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1333500" cy="487680"/>
            <wp:effectExtent l="0" t="0" r="7620" b="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证明：当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44" o:spt="75" alt="" type="#_x0000_t75" style="height:22.2pt;width:1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36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为0时，</w:t>
      </w:r>
      <w:r>
        <w:rPr>
          <w:rFonts w:hint="eastAsia" w:ascii="宋体" w:hAnsi="宋体" w:eastAsia="宋体" w:cs="宋体"/>
          <w:position w:val="-24"/>
          <w:sz w:val="28"/>
          <w:szCs w:val="28"/>
          <w:lang w:val="en-US" w:eastAsia="zh-CN"/>
        </w:rPr>
        <w:object>
          <v:shape id="_x0000_i1045" o:spt="75" type="#_x0000_t75" style="height:34.8pt;width:42.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5" DrawAspect="Content" ObjectID="_1468075737" r:id="rId3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趋向于无穷大。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 xml:space="preserve">Question </w:t>
      </w:r>
      <w:r>
        <w:rPr>
          <w:rFonts w:hint="eastAsia"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为了对c类任务中的特征向量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46" o:spt="75" type="#_x0000_t75" style="height:20.15pt;width:42.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6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进行分类，我们假设每个类的先验值相同并且类别条件概率密度是高斯分布。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写出条件概率密度函数的数学形式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在下面编写最小错误率的判别函数两种情况：（a）类协方差矩阵不相等；（b）类协方差矩阵相同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基于高斯概率的二次判别函数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当协方差矩阵为奇异时，它变得无法计算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说出两种克服奇异性的方法。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 xml:space="preserve">Question </w:t>
      </w:r>
      <w:r>
        <w:rPr>
          <w:rFonts w:hint="eastAsia"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假设我们有两个协方差相同的正态分布，但是不同的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表达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是：</w:t>
      </w:r>
      <w:r>
        <w:rPr>
          <w:rFonts w:hint="eastAsia" w:ascii="宋体" w:hAnsi="宋体" w:eastAsia="宋体" w:cs="宋体"/>
          <w:position w:val="-14"/>
          <w:sz w:val="28"/>
          <w:szCs w:val="28"/>
          <w:lang w:val="en-US" w:eastAsia="zh-CN"/>
        </w:rPr>
        <w:object>
          <v:shape id="_x0000_i1047" o:spt="75" alt="" type="#_x0000_t75" style="height:24.15pt;width:66.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7" DrawAspect="Content" ObjectID="_1468075739" r:id="rId37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position w:val="-14"/>
          <w:sz w:val="28"/>
          <w:szCs w:val="28"/>
          <w:lang w:val="en-US" w:eastAsia="zh-CN"/>
        </w:rPr>
        <w:object>
          <v:shape id="_x0000_i1048" o:spt="75" alt="" type="#_x0000_t75" style="height:23.6pt;width:66.0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8" DrawAspect="Content" ObjectID="_1468075740" r:id="rId39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。根据它们的先验概率</w:t>
      </w:r>
      <w:r>
        <w:rPr>
          <w:rFonts w:hint="eastAsia" w:ascii="宋体" w:hAnsi="宋体" w:eastAsia="宋体" w:cs="宋体"/>
          <w:position w:val="-14"/>
          <w:sz w:val="28"/>
          <w:szCs w:val="28"/>
          <w:lang w:val="en-US" w:eastAsia="zh-CN"/>
        </w:rPr>
        <w:object>
          <v:shape id="_x0000_i1049" o:spt="75" alt="" type="#_x0000_t75" style="height:24.95pt;width:22.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9" DrawAspect="Content" ObjectID="_1468075741" r:id="rId41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0" o:spt="75" alt="" type="#_x0000_t75" style="height:24pt;width:25.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42" r:id="rId43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，说明Bayes判定边界不在两个均值之间通过的条件。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 xml:space="preserve">Question </w:t>
      </w:r>
      <w:r>
        <w:rPr>
          <w:rFonts w:hint="eastAsia"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最大似然法也适用于先验概率的估计。 让我们通过未知概率</w:t>
      </w:r>
      <w:r>
        <w:rPr>
          <w:rFonts w:hint="eastAsia" w:ascii="宋体" w:hAnsi="宋体" w:eastAsia="宋体" w:cs="宋体"/>
          <w:position w:val="-14"/>
          <w:sz w:val="28"/>
          <w:szCs w:val="28"/>
          <w:lang w:val="en-US" w:eastAsia="zh-CN"/>
        </w:rPr>
        <w:object>
          <v:shape id="_x0000_i1053" o:spt="75" alt="" type="#_x0000_t75" style="height:24.95pt;width:22.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3" DrawAspect="Content" ObjectID="_1468075743" r:id="rId45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的自然状态</w:t>
      </w:r>
      <w:r>
        <w:rPr>
          <w:rFonts w:hint="default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5" o:spt="75" alt="" type="#_x0000_t75" style="height:24.15pt;width:18.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5" DrawAspect="Content" ObjectID="_1468075744" r:id="rId47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的连续独立选择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抽取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样本。如果第k个样本的自然状态为</w:t>
      </w:r>
      <w:r>
        <w:rPr>
          <w:rFonts w:hint="default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6" o:spt="75" type="#_x0000_t75" style="height:24.15pt;width:18.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6" DrawAspect="Content" ObjectID="_1468075745" r:id="rId49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，则设</w:t>
      </w:r>
      <w:r>
        <w:rPr>
          <w:rFonts w:hint="default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7" o:spt="75" alt="" type="#_x0000_t75" style="height:24.15pt;width:42.8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7" DrawAspect="Content" ObjectID="_1468075746" r:id="rId50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，否则</w:t>
      </w:r>
      <w:r>
        <w:rPr>
          <w:rFonts w:hint="default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8" o:spt="75" alt="" type="#_x0000_t75" style="height:24.15pt;width:45.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8" DrawAspect="Content" ObjectID="_1468075747" r:id="rId52">
            <o:LockedField>false</o:LockedField>
          </o:OLEObject>
        </w:objec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071620" cy="578485"/>
            <wp:effectExtent l="0" t="0" r="12700" b="635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证明:</w:t>
      </w:r>
      <w:r>
        <w:rPr>
          <w:rFonts w:hint="eastAsia" w:ascii="宋体" w:hAnsi="宋体" w:eastAsia="宋体" w:cs="宋体"/>
          <w:position w:val="-14"/>
          <w:sz w:val="28"/>
          <w:szCs w:val="28"/>
          <w:lang w:val="en-US" w:eastAsia="zh-CN"/>
        </w:rPr>
        <w:object>
          <v:shape id="_x0000_i1060" o:spt="75" type="#_x0000_t75" style="height:24.95pt;width:22.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60" DrawAspect="Content" ObjectID="_1468075748" r:id="rId5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的最大似然估计为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1516380" cy="586740"/>
            <wp:effectExtent l="0" t="0" r="7620" b="7620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 xml:space="preserve">Question </w:t>
      </w:r>
      <w:r>
        <w:rPr>
          <w:rFonts w:hint="eastAsia" w:ascii="SFBX1200" w:hAnsi="SFBX1200" w:eastAsia="SFBX1200" w:cs="SFBX1200"/>
          <w:b/>
          <w:color w:val="000000"/>
          <w:kern w:val="0"/>
          <w:sz w:val="34"/>
          <w:szCs w:val="34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设一个n个d维样本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2" o:spt="75" type="#_x0000_t75" style="height:22.8pt;width:49.3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2" DrawAspect="Content" ObjectID="_1468075749" r:id="rId5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的样本均值定义为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3" o:spt="75" alt="" type="#_x0000_t75" style="height:22.8pt;width:1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3" DrawAspect="Content" ObjectID="_1468075750" r:id="rId5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，协方差矩阵为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4" o:spt="75" type="#_x0000_t75" style="height:23.5pt;width:19.5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4" DrawAspect="Content" ObjectID="_1468075751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88180" cy="609600"/>
            <wp:effectExtent l="0" t="0" r="7620" b="0"/>
            <wp:docPr id="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证明:可以基于新样本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6" o:spt="75" alt="" type="#_x0000_t75" style="height:22.8pt;width:25.3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6" DrawAspect="Content" ObjectID="_1468075752" r:id="rId6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连续相加，可以使用递归关系计算出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9" o:spt="75" type="#_x0000_t75" style="height:22.8pt;width:1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9" DrawAspect="Content" ObjectID="_1468075753" r:id="rId6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70" o:spt="75" type="#_x0000_t75" style="height:23.5pt;width:19.5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70" DrawAspect="Content" ObjectID="_1468075754" r:id="rId6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229100" cy="1181100"/>
            <wp:effectExtent l="0" t="0" r="7620" b="7620"/>
            <wp:docPr id="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讨论通过递归方法计算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72" o:spt="75" type="#_x0000_t75" style="height:22.8pt;width:1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2" DrawAspect="Content" ObjectID="_1468075755" r:id="rId6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73" o:spt="75" type="#_x0000_t75" style="height:23.5pt;width:19.5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73" DrawAspect="Content" ObjectID="_1468075756" r:id="rId7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的复杂性。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BX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3F88D"/>
    <w:multiLevelType w:val="singleLevel"/>
    <w:tmpl w:val="9CE3F88D"/>
    <w:lvl w:ilvl="0" w:tentative="0">
      <w:start w:val="1"/>
      <w:numFmt w:val="lowerLetter"/>
      <w:suff w:val="space"/>
      <w:lvlText w:val="（%1）"/>
      <w:lvlJc w:val="left"/>
    </w:lvl>
  </w:abstractNum>
  <w:abstractNum w:abstractNumId="1">
    <w:nsid w:val="43B25A2D"/>
    <w:multiLevelType w:val="singleLevel"/>
    <w:tmpl w:val="43B25A2D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5A93737E"/>
    <w:multiLevelType w:val="singleLevel"/>
    <w:tmpl w:val="5A93737E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6EC4DC8F"/>
    <w:multiLevelType w:val="singleLevel"/>
    <w:tmpl w:val="6EC4DC8F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448E8"/>
    <w:rsid w:val="10605EAE"/>
    <w:rsid w:val="219B7E40"/>
    <w:rsid w:val="2D2B481A"/>
    <w:rsid w:val="59F5733E"/>
    <w:rsid w:val="641448E8"/>
    <w:rsid w:val="6CAF56AB"/>
    <w:rsid w:val="74C17AC3"/>
    <w:rsid w:val="794311E0"/>
    <w:rsid w:val="79B97CD0"/>
    <w:rsid w:val="7ED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4.png"/><Relationship Id="rId67" Type="http://schemas.openxmlformats.org/officeDocument/2006/relationships/oleObject" Target="embeddings/oleObject30.bin"/><Relationship Id="rId66" Type="http://schemas.openxmlformats.org/officeDocument/2006/relationships/oleObject" Target="embeddings/oleObject29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2.png"/><Relationship Id="rId62" Type="http://schemas.openxmlformats.org/officeDocument/2006/relationships/image" Target="media/image31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0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6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8.png"/><Relationship Id="rId55" Type="http://schemas.openxmlformats.org/officeDocument/2006/relationships/oleObject" Target="embeddings/oleObject24.bin"/><Relationship Id="rId54" Type="http://schemas.openxmlformats.org/officeDocument/2006/relationships/image" Target="media/image27.png"/><Relationship Id="rId53" Type="http://schemas.openxmlformats.org/officeDocument/2006/relationships/image" Target="media/image26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0.wmf"/><Relationship Id="rId4" Type="http://schemas.openxmlformats.org/officeDocument/2006/relationships/theme" Target="theme/theme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5.png"/><Relationship Id="rId3" Type="http://schemas.openxmlformats.org/officeDocument/2006/relationships/footer" Target="foot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2020-10-03T15:46:00Z</dcterms:created>
  <dc:creator>灰色:@(—铅笔画●</dc:creator>
  <cp:lastModifiedBy>灰色:@(—铅笔画●</cp:lastModifiedBy>
  <dcterms:modified xsi:type="dcterms:W3CDTF">2020-10-03T17:17:14Z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