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b/>
          <w:bCs/>
        </w:rPr>
        <w:t xml:space="preserve">Adstock &amp; Saturation in MMM</w:t>
      </w:r>
    </w:p>
    <w:p>
      <w:pPr>
        <w:spacing w:after="320"/>
      </w:pPr>
      <w:r>
        <w:rPr>
          <w:i/>
          <w:iCs/>
          <w:color w:val="898781"/>
        </w:rPr>
        <w:t xml:space="preserve">Intuition, math, evaluation, and applications — based on Meta's Robyn documentation</w:t>
      </w:r>
    </w:p>
    <w:p>
      <w:pPr>
        <w:pStyle w:val="Heading1"/>
        <w:spacing w:after="160" w:before="320"/>
      </w:pPr>
      <w:r>
        <w:t xml:space="preserve">1. Adstock</w:t>
      </w:r>
    </w:p>
    <w:p>
      <w:pPr>
        <w:pStyle w:val="Heading2"/>
        <w:spacing w:after="120" w:before="240"/>
      </w:pPr>
      <w:r>
        <w:t xml:space="preserve">1.1 Intuition</w:t>
      </w:r>
    </w:p>
    <w:p>
      <w:pPr>
        <w:spacing w:after="160" w:line="276"/>
      </w:pPr>
      <w:r>
        <w:t xml:space="preserve">An ad's effect on sales doesn't end the moment spend stops. A TV ad seen this week still influences a purchase decision two or three weeks later — this lingering influence is called carryover. Adstock is the transformation that converts raw weekly spend into "effective advertising pressure": a smoothed, decaying version of spend that reflects the market's memory rather than the bank account.</w:t>
      </w:r>
    </w:p>
    <w:p>
      <w:pPr>
        <w:spacing w:after="160" w:line="276"/>
      </w:pPr>
      <w:r>
        <w:t xml:space="preserve">Without adstock, a regression model can only credit sales to the exact week money was spent — but sales in week 3 can clearly still be driven by an ad that ran in week 1. Adstock is what lets the model see that connection.</w:t>
      </w:r>
    </w:p>
    <w:p>
      <w:pPr>
        <w:pStyle w:val="Heading2"/>
        <w:spacing w:after="120" w:before="240"/>
      </w:pPr>
      <w:r>
        <w:t xml:space="preserve">1.2 Mathematical formula</w:t>
      </w:r>
    </w:p>
    <w:p>
      <w:pPr>
        <w:spacing w:after="160" w:line="276"/>
      </w:pPr>
      <w:r>
        <w:rPr>
          <w:b/>
          <w:bCs/>
        </w:rPr>
        <w:t xml:space="preserve">Robyn implements two adstock techniques:</w:t>
      </w:r>
    </w:p>
    <w:p>
      <w:pPr>
        <w:spacing w:after="160" w:line="276"/>
      </w:pPr>
      <w:r>
        <w:t xml:space="preserve">Geometric adstock — one parameter, theta (decay rate):</w:t>
      </w:r>
    </w:p>
    <w:p>
      <w:pPr>
        <w:pBdr>
          <w:left w:val="single" w:color="1BAF7A" w:sz="18"/>
        </w:pBdr>
        <w:shd w:fill="F2F1EC" w:val="clear"/>
        <w:spacing w:after="160" w:before="100"/>
        <w:ind w:left="431"/>
      </w:pPr>
      <w:r>
        <w:rPr>
          <w:rFonts w:ascii="Consolas" w:cs="Consolas" w:eastAsia="Consolas" w:hAnsi="Consolas"/>
          <w:i/>
          <w:iCs/>
        </w:rPr>
        <w:t xml:space="preserve">adstocked(t) = spend(t) + theta × adstocked(t − 1)</w:t>
      </w:r>
    </w:p>
    <w:p>
      <w:pPr>
        <w:spacing w:after="160" w:line="276"/>
      </w:pPr>
      <w:r>
        <w:t xml:space="preserve">theta = 0.75 means 75% of an impression's effect carries over to the next period. Robyn's recommended theta bounds by channel type: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BAF7A" w:val="clear"/>
          </w:tcPr>
          <w:p>
            <w:r>
              <w:rPr>
                <w:b/>
                <w:bCs/>
                <w:color w:val="FFFFFF"/>
              </w:rPr>
              <w:t xml:space="preserve">Channel type</w:t>
            </w:r>
          </w:p>
        </w:tc>
        <w:tc>
          <w:tcPr>
            <w:tcW w:type="dxa" w:w="4500"/>
            <w:shd w:fill="1BAF7A" w:val="clear"/>
          </w:tcPr>
          <w:p>
            <w:r>
              <w:rPr>
                <w:b/>
                <w:bCs/>
                <w:color w:val="FFFFFF"/>
              </w:rPr>
              <w:t xml:space="preserve">Recommended theta range</w:t>
            </w:r>
          </w:p>
        </w:tc>
      </w:tr>
      <w:tr>
        <w:tc>
          <w:tcPr>
            <w:tcW w:type="dxa" w:w="4500"/>
          </w:tcPr>
          <w:p>
            <w:r>
              <w:t xml:space="preserve">TV</w:t>
            </w:r>
          </w:p>
        </w:tc>
        <w:tc>
          <w:tcPr>
            <w:tcW w:type="dxa" w:w="4500"/>
          </w:tcPr>
          <w:p>
            <w:r>
              <w:t xml:space="preserve">0.3 – 0.8</w:t>
            </w:r>
          </w:p>
        </w:tc>
      </w:tr>
      <w:tr>
        <w:tc>
          <w:tcPr>
            <w:tcW w:type="dxa" w:w="4500"/>
          </w:tcPr>
          <w:p>
            <w:r>
              <w:t xml:space="preserve">OOH / Print / Radio</w:t>
            </w:r>
          </w:p>
        </w:tc>
        <w:tc>
          <w:tcPr>
            <w:tcW w:type="dxa" w:w="4500"/>
          </w:tcPr>
          <w:p>
            <w:r>
              <w:t xml:space="preserve">0.1 – 0.4</w:t>
            </w:r>
          </w:p>
        </w:tc>
      </w:tr>
      <w:tr>
        <w:tc>
          <w:tcPr>
            <w:tcW w:type="dxa" w:w="4500"/>
          </w:tcPr>
          <w:p>
            <w:r>
              <w:t xml:space="preserve">Digital</w:t>
            </w:r>
          </w:p>
        </w:tc>
        <w:tc>
          <w:tcPr>
            <w:tcW w:type="dxa" w:w="4500"/>
          </w:tcPr>
          <w:p>
            <w:r>
              <w:t xml:space="preserve">0 – 0.3</w:t>
            </w:r>
          </w:p>
        </w:tc>
      </w:tr>
    </w:tbl>
    <w:p>
      <w:pPr>
        <w:spacing w:after="200"/>
      </w:pPr>
    </w:p>
    <w:p>
      <w:pPr>
        <w:spacing w:after="160" w:line="276"/>
      </w:pPr>
      <w:r>
        <w:t xml:space="preserve">Weibull adstock — two parameters (shape, scale), used when a channel needs a more flexible decay curve than Geometric's fixed exponential rate allows:</w:t>
      </w:r>
    </w:p>
    <w:p>
      <w:pPr>
        <w:pStyle w:val="ListParagraph"/>
        <w:numPr>
          <w:ilvl w:val="0"/>
          <w:numId w:val="2"/>
        </w:numPr>
        <w:spacing w:after="90"/>
      </w:pPr>
      <w:r>
        <w:t xml:space="preserve">Weibull CDF: flexible decay rate, still peaks at day 0 like Geometric, but the curve's steepness can flex (more S-shaped or L-shaped).</w:t>
      </w:r>
    </w:p>
    <w:p>
      <w:pPr>
        <w:pStyle w:val="ListParagraph"/>
        <w:numPr>
          <w:ilvl w:val="0"/>
          <w:numId w:val="2"/>
        </w:numPr>
        <w:spacing w:after="90"/>
      </w:pPr>
      <w:r>
        <w:t xml:space="preserve">Weibull PDF: can model a lagged effect — the curve peaks after day 0 rather than at it (shape &gt; 1), useful for channels like TV or OOH where recognition/impact builds for a few days before peaking.</w:t>
      </w:r>
    </w:p>
    <w:p>
      <w:pPr>
        <w:spacing w:after="160" w:line="276"/>
      </w:pPr>
      <w:r>
        <w:t xml:space="preserve">Recommended bounds: shape c(0.0001, 10), scale c(0, 0.1) (conservative, since scale strongly affects half-life).</w:t>
      </w:r>
    </w:p>
    <w:p>
      <w:pPr>
        <w:pStyle w:val="Heading2"/>
        <w:spacing w:after="120" w:before="240"/>
      </w:pPr>
      <w:r>
        <w:t xml:space="preserve">1.3 How it's evaluated</w:t>
      </w:r>
    </w:p>
    <w:p>
      <w:pPr>
        <w:pStyle w:val="ListParagraph"/>
        <w:numPr>
          <w:ilvl w:val="0"/>
          <w:numId w:val="2"/>
        </w:numPr>
        <w:spacing w:after="90"/>
      </w:pPr>
      <w:r>
        <w:t xml:space="preserve">Half-life: the number of periods until an impression's effect decays to 50% — the most intuitive number to report to stakeholders (e.g. "TV's effect is half gone after 8 days").</w:t>
      </w:r>
    </w:p>
    <w:p>
      <w:pPr>
        <w:pStyle w:val="ListParagraph"/>
        <w:numPr>
          <w:ilvl w:val="0"/>
          <w:numId w:val="2"/>
        </w:numPr>
        <w:spacing w:after="90"/>
      </w:pPr>
      <w:r>
        <w:t xml:space="preserve">Infinite-sum inflation factor (Geometric only): summing a single rupee's decayed carryover across all future periods gives 1 / (1 − theta). At theta = 0.75, one rupee of spend behaves like 4 rupees of cumulative effective spend once carryover is included — a quick sanity check on how much a given theta is amplifying the transformed variable.</w:t>
      </w:r>
    </w:p>
    <w:p>
      <w:pPr>
        <w:pStyle w:val="ListParagraph"/>
        <w:numPr>
          <w:ilvl w:val="0"/>
          <w:numId w:val="2"/>
        </w:numPr>
        <w:spacing w:after="90"/>
      </w:pPr>
      <w:r>
        <w:t xml:space="preserve">Hyperparameter search: theta (and shape/scale for Weibull) are not fixed by hand — Robyn searches across the recommended bounds using Nevergrad (an evolutionary optimizer), refitting the regression each time and scoring candidates on out-of-sample fit (NRMSE) plus a decomposition-stability penalty (DECOMP.RSSD), described in Section 3.</w:t>
      </w:r>
    </w:p>
    <w:p>
      <w:pPr>
        <w:pStyle w:val="ListParagraph"/>
        <w:numPr>
          <w:ilvl w:val="0"/>
          <w:numId w:val="2"/>
        </w:numPr>
        <w:spacing w:after="90"/>
      </w:pPr>
      <w:r>
        <w:t xml:space="preserve">Diagnostic checks: Durbin-Watson on model residuals — a value far from 2 signals leftover autocorrelation, meaning the model is still missing carryover structure and adstock parameters likely need adjustment.</w:t>
      </w:r>
    </w:p>
    <w:p>
      <w:pPr>
        <w:pStyle w:val="Heading1"/>
        <w:spacing w:after="160" w:before="320"/>
      </w:pPr>
      <w:r>
        <w:t xml:space="preserve">2. Saturation</w:t>
      </w:r>
    </w:p>
    <w:p>
      <w:pPr>
        <w:pStyle w:val="Heading2"/>
        <w:spacing w:after="120" w:before="240"/>
      </w:pPr>
      <w:r>
        <w:t xml:space="preserve">2.1 Intuition</w:t>
      </w:r>
    </w:p>
    <w:p>
      <w:pPr>
        <w:spacing w:after="160" w:line="276"/>
      </w:pPr>
      <w:r>
        <w:t xml:space="preserve">Doubling spend on a channel rarely doubles its sales impact. Early rupees of spend are highly productive; once a channel is saturated, additional spend produces steadily less. Saturation is the transformation that models this diminishing-returns relationship between spend and response.</w:t>
      </w:r>
    </w:p>
    <w:p>
      <w:pPr>
        <w:spacing w:after="160" w:line="276"/>
      </w:pPr>
      <w:r>
        <w:t xml:space="preserve">Two channels can look identical in total ROI over history, yet sit at very different points on their own saturation curves — one already flat (extra spend wasted), one still climbing (extra spend still valuable). Saturation curves are what make that distinction visible.</w:t>
      </w:r>
    </w:p>
    <w:p>
      <w:pPr>
        <w:pStyle w:val="Heading2"/>
        <w:spacing w:after="120" w:before="240"/>
      </w:pPr>
      <w:r>
        <w:t xml:space="preserve">2.2 Mathematical formula</w:t>
      </w:r>
    </w:p>
    <w:p>
      <w:pPr>
        <w:spacing w:after="160" w:line="276"/>
      </w:pPr>
      <w:r>
        <w:t xml:space="preserve">Robyn uses the Hill function for a flexible S- or L-shaped saturation curve:</w:t>
      </w:r>
    </w:p>
    <w:p>
      <w:pPr>
        <w:pBdr>
          <w:left w:val="single" w:color="1BAF7A" w:sz="18"/>
        </w:pBdr>
        <w:shd w:fill="F2F1EC" w:val="clear"/>
        <w:spacing w:after="160" w:before="100"/>
        <w:ind w:left="431"/>
      </w:pPr>
      <w:r>
        <w:rPr>
          <w:rFonts w:ascii="Consolas" w:cs="Consolas" w:eastAsia="Consolas" w:hAnsi="Consolas"/>
          <w:i/>
          <w:iCs/>
        </w:rPr>
        <w:t xml:space="preserve">media_saturated = 1 / (1 + (gamma / media_adstocked) ^ alpha)</w:t>
      </w:r>
    </w:p>
    <w:p>
      <w:pPr>
        <w:spacing w:after="160" w:line="276"/>
      </w:pPr>
      <w:r>
        <w:t xml:space="preserve">Two parameters control the curve's shape: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000"/>
        <w:gridCol w:w="2600"/>
      </w:tblGrid>
      <w:tr>
        <w:trPr>
          <w:tblHeader/>
        </w:trPr>
        <w:tc>
          <w:tcPr>
            <w:tcW w:type="dxa" w:w="1800"/>
            <w:shd w:fill="1BAF7A" w:val="clear"/>
          </w:tcPr>
          <w:p>
            <w:r>
              <w:rPr>
                <w:b/>
                <w:bCs/>
                <w:color w:val="FFFFFF"/>
              </w:rPr>
              <w:t xml:space="preserve">Parameter</w:t>
            </w:r>
          </w:p>
        </w:tc>
        <w:tc>
          <w:tcPr>
            <w:tcW w:type="dxa" w:w="2600"/>
            <w:shd w:fill="1BAF7A" w:val="clear"/>
          </w:tcPr>
          <w:p>
            <w:r>
              <w:rPr>
                <w:b/>
                <w:bCs/>
                <w:color w:val="FFFFFF"/>
              </w:rPr>
              <w:t xml:space="preserve">Controls</w:t>
            </w:r>
          </w:p>
        </w:tc>
        <w:tc>
          <w:tcPr>
            <w:tcW w:type="dxa" w:w="2000"/>
            <w:shd w:fill="1BAF7A" w:val="clear"/>
          </w:tcPr>
          <w:p>
            <w:r>
              <w:rPr>
                <w:b/>
                <w:bCs/>
                <w:color w:val="FFFFFF"/>
              </w:rPr>
              <w:t xml:space="preserve">Recommended bound</w:t>
            </w:r>
          </w:p>
        </w:tc>
        <w:tc>
          <w:tcPr>
            <w:tcW w:type="dxa" w:w="2600"/>
            <w:shd w:fill="1BAF7A" w:val="clear"/>
          </w:tcPr>
          <w:p>
            <w:r>
              <w:rPr>
                <w:b/>
                <w:bCs/>
                <w:color w:val="FFFFFF"/>
              </w:rPr>
              <w:t xml:space="preserve">Effect</w:t>
            </w:r>
          </w:p>
        </w:tc>
      </w:tr>
      <w:tr>
        <w:tc>
          <w:tcPr>
            <w:tcW w:type="dxa" w:w="1800"/>
          </w:tcPr>
          <w:p>
            <w:r>
              <w:t xml:space="preserve">alpha</w:t>
            </w:r>
          </w:p>
        </w:tc>
        <w:tc>
          <w:tcPr>
            <w:tcW w:type="dxa" w:w="2600"/>
          </w:tcPr>
          <w:p>
            <w:r>
              <w:t xml:space="preserve">Curve shape (C- vs S-shape)</w:t>
            </w:r>
          </w:p>
        </w:tc>
        <w:tc>
          <w:tcPr>
            <w:tcW w:type="dxa" w:w="2000"/>
          </w:tcPr>
          <w:p>
            <w:r>
              <w:t xml:space="preserve">0.5 – 3</w:t>
            </w:r>
          </w:p>
        </w:tc>
        <w:tc>
          <w:tcPr>
            <w:tcW w:type="dxa" w:w="2600"/>
          </w:tcPr>
          <w:p>
            <w:r>
              <w:t xml:space="preserve">Larger alpha → more S-shaped (needs a spend threshold before response kicks in). Smaller alpha → more C-shaped (diminishing returns from the very first rupee).</w:t>
            </w:r>
          </w:p>
        </w:tc>
      </w:tr>
      <w:tr>
        <w:tc>
          <w:tcPr>
            <w:tcW w:type="dxa" w:w="1800"/>
          </w:tcPr>
          <w:p>
            <w:r>
              <w:t xml:space="preserve">gamma</w:t>
            </w:r>
          </w:p>
        </w:tc>
        <w:tc>
          <w:tcPr>
            <w:tcW w:type="dxa" w:w="2600"/>
          </w:tcPr>
          <w:p>
            <w:r>
              <w:t xml:space="preserve">Inflexion point</w:t>
            </w:r>
          </w:p>
        </w:tc>
        <w:tc>
          <w:tcPr>
            <w:tcW w:type="dxa" w:w="2000"/>
          </w:tcPr>
          <w:p>
            <w:r>
              <w:t xml:space="preserve">0.3 – 1</w:t>
            </w:r>
          </w:p>
        </w:tc>
        <w:tc>
          <w:tcPr>
            <w:tcW w:type="dxa" w:w="2600"/>
          </w:tcPr>
          <w:p>
            <w:r>
              <w:t xml:space="preserve">Larger gamma → later inflexion point, i.e. the channel can absorb more spend before flattening.</w:t>
            </w:r>
          </w:p>
        </w:tc>
      </w:tr>
    </w:tbl>
    <w:p>
      <w:pPr>
        <w:spacing w:after="200"/>
      </w:pPr>
    </w:p>
    <w:p>
      <w:pPr>
        <w:pStyle w:val="Heading2"/>
        <w:spacing w:after="120" w:before="240"/>
      </w:pPr>
      <w:r>
        <w:t xml:space="preserve">2.3 How it's evaluated</w:t>
      </w:r>
    </w:p>
    <w:p>
      <w:pPr>
        <w:pStyle w:val="ListParagraph"/>
        <w:numPr>
          <w:ilvl w:val="0"/>
          <w:numId w:val="2"/>
        </w:numPr>
        <w:spacing w:after="90"/>
      </w:pPr>
      <w:r>
        <w:t xml:space="preserve">Response / saturation curve chart: plots response against adstocked spend per channel, with the channel's current mean spend marked on the curve — visually shows whether a channel is early on its curve (room to grow) or already flat (near-saturated).</w:t>
      </w:r>
    </w:p>
    <w:p>
      <w:pPr>
        <w:pStyle w:val="ListParagraph"/>
        <w:numPr>
          <w:ilvl w:val="0"/>
          <w:numId w:val="2"/>
        </w:numPr>
        <w:spacing w:after="90"/>
      </w:pPr>
      <w:r>
        <w:t xml:space="preserve">Marginal response: the first derivative of the Hill curve at the current spend level — "what does the next rupee return?" This, not average historical ROI, is the number that actually should drive reallocation decisions, since two channels with identical average ROI can have very different marginal ROI depending on where they sit on their curves.</w:t>
      </w:r>
    </w:p>
    <w:p>
      <w:pPr>
        <w:pStyle w:val="ListParagraph"/>
        <w:numPr>
          <w:ilvl w:val="0"/>
          <w:numId w:val="2"/>
        </w:numPr>
        <w:spacing w:after="90"/>
      </w:pPr>
      <w:r>
        <w:t xml:space="preserve">Joint search with adstock: alpha and gamma are searched by Nevergrad alongside theta, evaluated on the same NRMSE / DECOMP.RSSD (and MAPE, if calibrated) objective described below — saturation and adstock parameters are optimized together, not independently.</w:t>
      </w:r>
    </w:p>
    <w:p>
      <w:pPr>
        <w:pStyle w:val="Heading1"/>
        <w:spacing w:after="160" w:before="320"/>
      </w:pPr>
      <w:r>
        <w:t xml:space="preserve">3. Model Evaluation Metrics</w:t>
      </w:r>
    </w:p>
    <w:p>
      <w:pPr>
        <w:spacing w:after="160" w:line="276"/>
      </w:pPr>
      <w:r>
        <w:t xml:space="preserve">Robyn's search evaluates every candidate model (each with a different combination of adstock/saturation hyperparameters) across up to three objectives simultaneously:</w:t>
      </w:r>
    </w:p>
    <w:p>
      <w:pPr>
        <w:pStyle w:val="Heading2"/>
        <w:spacing w:after="120" w:before="240"/>
      </w:pPr>
      <w:r>
        <w:t xml:space="preserve">3.1 NRMSE (Normalized Root Mean Squared Error)</w:t>
      </w:r>
    </w:p>
    <w:p>
      <w:pPr>
        <w:spacing w:after="160" w:line="276"/>
      </w:pPr>
      <w:r>
        <w:t xml:space="preserve">Measures overall prediction accuracy — how far predicted sales are from actual sales, normalized so it's comparable across models/datasets of different scales. Nevergrad tries to minimize this.</w:t>
      </w:r>
    </w:p>
    <w:p>
      <w:pPr>
        <w:pStyle w:val="Heading2"/>
        <w:spacing w:after="120" w:before="240"/>
      </w:pPr>
      <w:r>
        <w:t xml:space="preserve">3.2 DECOMP.RSSD (Decomposition Root Sum of Squared Distance)</w:t>
      </w:r>
    </w:p>
    <w:p>
      <w:pPr>
        <w:spacing w:after="160" w:line="276"/>
      </w:pPr>
      <w:r>
        <w:t xml:space="preserve">Penalizes models whose channel-level spend share and effect share are wildly out of proportion to each other. Without this penalty, a pure accuracy-maximizing search can produce decompositions that fit the sales curve well but attribute implausible shares of sales to individual channels — this metric keeps results business-plausible, not just statistically accurate.</w:t>
      </w:r>
    </w:p>
    <w:p>
      <w:pPr>
        <w:pStyle w:val="Heading2"/>
        <w:spacing w:after="120" w:before="240"/>
      </w:pPr>
      <w:r>
        <w:t xml:space="preserve">3.3 MAPE (calibration, optional)</w:t>
      </w:r>
    </w:p>
    <w:p>
      <w:pPr>
        <w:spacing w:after="160" w:line="276"/>
      </w:pPr>
      <w:r>
        <w:t xml:space="preserve">When real experiment data (e.g. a Meta Conversion Lift or geo-lift test) is supplied, this measures the average gap between the model's own ROI estimate for a channel and the experiment's real, ground-truth lift measurement across the calibration windows. Lower MAPE means the model's estimates are closer to a real, externally validated answer, not just an internally consistent one.</w:t>
      </w:r>
    </w:p>
    <w:p>
      <w:pPr>
        <w:pStyle w:val="Heading2"/>
        <w:spacing w:after="120" w:before="240"/>
      </w:pPr>
      <w:r>
        <w:t xml:space="preserve">3.4 Diagnostic metrics used alongside the search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00"/>
      </w:tblGrid>
      <w:tr>
        <w:trPr>
          <w:tblHeader/>
        </w:trPr>
        <w:tc>
          <w:tcPr>
            <w:tcW w:type="dxa" w:w="2200"/>
            <w:shd w:fill="1BAF7A" w:val="clear"/>
          </w:tcPr>
          <w:p>
            <w:r>
              <w:rPr>
                <w:b/>
                <w:bCs/>
                <w:color w:val="FFFFFF"/>
              </w:rPr>
              <w:t xml:space="preserve">Metric</w:t>
            </w:r>
          </w:p>
        </w:tc>
        <w:tc>
          <w:tcPr>
            <w:tcW w:type="dxa" w:w="3500"/>
            <w:shd w:fill="1BAF7A" w:val="clear"/>
          </w:tcPr>
          <w:p>
            <w:r>
              <w:rPr>
                <w:b/>
                <w:bCs/>
                <w:color w:val="FFFFFF"/>
              </w:rPr>
              <w:t xml:space="preserve">What it checks</w:t>
            </w:r>
          </w:p>
        </w:tc>
        <w:tc>
          <w:tcPr>
            <w:tcW w:type="dxa" w:w="3300"/>
            <w:shd w:fill="1BAF7A" w:val="clear"/>
          </w:tcPr>
          <w:p>
            <w:r>
              <w:rPr>
                <w:b/>
                <w:bCs/>
                <w:color w:val="FFFFFF"/>
              </w:rPr>
              <w:t xml:space="preserve">Rule of thumb</w:t>
            </w:r>
          </w:p>
        </w:tc>
      </w:tr>
      <w:tr>
        <w:tc>
          <w:tcPr>
            <w:tcW w:type="dxa" w:w="2200"/>
          </w:tcPr>
          <w:p>
            <w:r>
              <w:t xml:space="preserve">R² (model fit)</w:t>
            </w:r>
          </w:p>
        </w:tc>
        <w:tc>
          <w:tcPr>
            <w:tcW w:type="dxa" w:w="3500"/>
          </w:tcPr>
          <w:p>
            <w:r>
              <w:t xml:space="preserve">Overall variance explained by the model</w:t>
            </w:r>
          </w:p>
        </w:tc>
        <w:tc>
          <w:tcPr>
            <w:tcW w:type="dxa" w:w="3300"/>
          </w:tcPr>
          <w:p>
            <w:r>
              <w:t xml:space="preserve">&lt; 0.8 needs improvement · 0.8–0.9 acceptable · &gt; 0.9 ideal</w:t>
            </w:r>
          </w:p>
        </w:tc>
      </w:tr>
      <w:tr>
        <w:tc>
          <w:tcPr>
            <w:tcW w:type="dxa" w:w="2200"/>
          </w:tcPr>
          <w:p>
            <w:r>
              <w:t xml:space="preserve">VIF</w:t>
            </w:r>
          </w:p>
        </w:tc>
        <w:tc>
          <w:tcPr>
            <w:tcW w:type="dxa" w:w="3500"/>
          </w:tcPr>
          <w:p>
            <w:r>
              <w:t xml:space="preserve">Multicollinearity among raw media spend variables</w:t>
            </w:r>
          </w:p>
        </w:tc>
        <w:tc>
          <w:tcPr>
            <w:tcW w:type="dxa" w:w="3300"/>
          </w:tcPr>
          <w:p>
            <w:r>
              <w:t xml:space="preserve">VIF &gt; 5 signals meaningful collinearity, motivating Ridge over plain OLS</w:t>
            </w:r>
          </w:p>
        </w:tc>
      </w:tr>
      <w:tr>
        <w:tc>
          <w:tcPr>
            <w:tcW w:type="dxa" w:w="2200"/>
          </w:tcPr>
          <w:p>
            <w:r>
              <w:t xml:space="preserve">Durbin-Watson</w:t>
            </w:r>
          </w:p>
        </w:tc>
        <w:tc>
          <w:tcPr>
            <w:tcW w:type="dxa" w:w="3500"/>
          </w:tcPr>
          <w:p>
            <w:r>
              <w:t xml:space="preserve">Autocorrelation left in residuals</w:t>
            </w:r>
          </w:p>
        </w:tc>
        <w:tc>
          <w:tcPr>
            <w:tcW w:type="dxa" w:w="3300"/>
          </w:tcPr>
          <w:p>
            <w:r>
              <w:t xml:space="preserve">Near 2 = little autocorrelation; far from 2 = missing carryover structure</w:t>
            </w:r>
          </w:p>
        </w:tc>
      </w:tr>
      <w:tr>
        <w:tc>
          <w:tcPr>
            <w:tcW w:type="dxa" w:w="2200"/>
          </w:tcPr>
          <w:p>
            <w:r>
              <w:t xml:space="preserve">Out-of-sample holdout</w:t>
            </w:r>
          </w:p>
        </w:tc>
        <w:tc>
          <w:tcPr>
            <w:tcW w:type="dxa" w:w="3500"/>
          </w:tcPr>
          <w:p>
            <w:r>
              <w:t xml:space="preserve">Whether the model generalizes to unseen weeks, not just fits history</w:t>
            </w:r>
          </w:p>
        </w:tc>
        <w:tc>
          <w:tcPr>
            <w:tcW w:type="dxa" w:w="3300"/>
          </w:tcPr>
          <w:p>
            <w:r>
              <w:t xml:space="preserve">Always split by time, never shuffle, for time-series data</w:t>
            </w:r>
          </w:p>
        </w:tc>
      </w:tr>
    </w:tbl>
    <w:p>
      <w:pPr>
        <w:spacing w:after="200"/>
      </w:pPr>
    </w:p>
    <w:p>
      <w:pPr>
        <w:pStyle w:val="Heading1"/>
        <w:spacing w:after="160" w:before="320"/>
      </w:pPr>
      <w:r>
        <w:t xml:space="preserve">4. Applications</w:t>
      </w:r>
    </w:p>
    <w:p>
      <w:pPr>
        <w:pStyle w:val="Heading2"/>
        <w:spacing w:after="120" w:before="240"/>
      </w:pPr>
      <w:r>
        <w:t xml:space="preserve">4.1 Budget allocation</w:t>
      </w:r>
    </w:p>
    <w:p>
      <w:pPr>
        <w:spacing w:after="160" w:line="276"/>
      </w:pPr>
      <w:r>
        <w:t xml:space="preserve">The core payoff of fitting saturation curves: Robyn's budget allocator uses the fitted Hill curves to recommend an optimal spend mix — either maximizing response at the same total budget, or for a new target budget — using a gradient-based nonlinear optimizer against the saturation curves' marginal response.</w:t>
      </w:r>
    </w:p>
    <w:p>
      <w:pPr>
        <w:pStyle w:val="Heading2"/>
        <w:spacing w:after="120" w:before="240"/>
      </w:pPr>
      <w:r>
        <w:t xml:space="preserve">4.2 Model calibration against real experiments</w:t>
      </w:r>
    </w:p>
    <w:p>
      <w:pPr>
        <w:spacing w:after="160" w:line="276"/>
      </w:pPr>
      <w:r>
        <w:t xml:space="preserve">Adstock and saturation parameters can be steered not just by statistical fit but by real incrementality experiment results (e.g. Meta Conversion Lift), using the MAPE-based calibration objective — grounding the model in ground truth rather than pure curve-fitting.</w:t>
      </w:r>
    </w:p>
    <w:p>
      <w:pPr>
        <w:pStyle w:val="Heading2"/>
        <w:spacing w:after="120" w:before="240"/>
      </w:pPr>
      <w:r>
        <w:t xml:space="preserve">4.3 Model refresh / ongoing reporting</w:t>
      </w:r>
    </w:p>
    <w:p>
      <w:pPr>
        <w:spacing w:after="160" w:line="276"/>
      </w:pPr>
      <w:r>
        <w:t xml:space="preserve">Once fitted, adstock and saturation parameters (and the resulting decomposition/ROI) can be refreshed on a rolling cadence (e.g. quarterly) as new data arrives, without a full rebuild — turning MMM into a living reporting tool rather than a one-off study.</w:t>
      </w:r>
    </w:p>
    <w:p>
      <w:pPr>
        <w:pStyle w:val="Heading2"/>
        <w:spacing w:after="120" w:before="240"/>
      </w:pPr>
      <w:r>
        <w:t xml:space="preserve">4.4 Channel diagnosis</w:t>
      </w:r>
    </w:p>
    <w:p>
      <w:pPr>
        <w:spacing w:after="160" w:line="276"/>
      </w:pPr>
      <w:r>
        <w:t xml:space="preserve">Comparing adstock half-life and saturation curves across channels answers practical planning questions directly: which channels need spend spaced further apart (long half-life) vs. can be run more continuously (short half-life); which channels have headroom to absorb more budget (low gamma / not yet saturated) vs. which are already maxed out.</w:t>
      </w:r>
    </w:p>
    <w:p>
      <w:pPr>
        <w:pStyle w:val="Heading2"/>
        <w:spacing w:after="120" w:before="240"/>
      </w:pPr>
      <w:r>
        <w:t xml:space="preserve">4.5 Extending to Bayesian MMM</w:t>
      </w:r>
    </w:p>
    <w:p>
      <w:pPr>
        <w:spacing w:after="160" w:line="276"/>
      </w:pPr>
      <w:r>
        <w:t xml:space="preserve">The same adstock and saturation concepts carry over directly into Bayesian frameworks like PyMC-Marketing — theta/alpha/gamma become model parameters with priors (rather than a fixed grid-search result), fit via MCMC instead of point-estimate optimization. This allows reporting full uncertainty (e.g. credible intervals) on decomposition, ROI, and optimal budget allocation, rather than single point estimates.</w:t>
      </w:r>
    </w:p>
    <w:p>
      <w:pPr>
        <w:pBdr>
          <w:top w:val="single" w:color="CCCCCC" w:sz="6"/>
        </w:pBdr>
        <w:spacing w:before="400"/>
      </w:pPr>
      <w:r>
        <w:rPr>
          <w:i/>
          <w:iCs/>
          <w:color w:val="898781"/>
          <w:sz w:val="18"/>
          <w:szCs w:val="18"/>
        </w:rPr>
        <w:t xml:space="preserve">Source: Meta's Robyn documentation (facebookexperimental.github.io/Robyn/docs/analysts-guide-to-MMM)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2026-08-15T14:38:40.867Z</dcterms:created>
  <dcterms:modified xsi:type="dcterms:W3CDTF">2026-08-15T14:38:40.883Z</dcterms:modified>
</cp:coreProperties>
</file>

<file path=docProps/custom.xml><?xml version="1.0" encoding="utf-8"?>
<Properties xmlns="http://schemas.openxmlformats.org/officeDocument/2006/custom-properties" xmlns:vt="http://schemas.openxmlformats.org/officeDocument/2006/docPropsVTypes"/>
</file>