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MMM Learning Log — Full Revision Notes</w:t>
      </w:r>
    </w:p>
    <w:p>
      <w:pPr>
        <w:spacing w:after="100"/>
      </w:pPr>
      <w:r>
        <w:rPr>
          <w:i/>
          <w:iCs/>
          <w:color w:val="898781"/>
        </w:rPr>
        <w:t xml:space="preserve">Complete explanations, not summaries — Robyn → PyMC-Marketing transition</w:t>
      </w:r>
    </w:p>
    <w:p>
      <w:pPr>
        <w:spacing w:after="360"/>
      </w:pPr>
      <w:r>
        <w:rPr>
          <w:color w:val="898781"/>
          <w:sz w:val="20"/>
          <w:szCs w:val="20"/>
        </w:rPr>
        <w:t xml:space="preserve">This picks up after the Adstock &amp; Saturation summary document. Each section below reproduces the full explanation as originally given — your doubt, the complete reasoning, code where relevant, and which stage of the MMM workflow it belongs to: Data prep → Baseline model → Adstock/Saturation transforms → Model Fitting (frequentist or Bayesian) → Evaluation/Diagnostics → Calibration → Decomposition/ROI → Budget Optimization.</w:t>
      </w:r>
    </w:p>
    <w:p>
      <w:pPr>
        <w:pStyle w:val="Heading1"/>
        <w:spacing w:after="100" w:before="480"/>
      </w:pPr>
      <w:r>
        <w:t xml:space="preserve">1. Shortening the Bayesian Learning Curriculum</w:t>
      </w:r>
    </w:p>
    <w:p>
      <w:pPr>
        <w:spacing w:after="140"/>
      </w:pPr>
      <w:r>
        <w:rPr>
          <w:b/>
          <w:bCs/>
          <w:color w:val="1BAF7A"/>
          <w:sz w:val="18"/>
          <w:szCs w:val="18"/>
        </w:rPr>
        <w:t xml:space="preserve">MMM STAGE:  </w:t>
      </w:r>
      <w:r>
        <w:rPr>
          <w:b/>
          <w:bCs/>
          <w:color w:val="1BAF7A"/>
          <w:sz w:val="18"/>
          <w:szCs w:val="18"/>
        </w:rPr>
        <w:t xml:space="preserve">Learning path / tooling transition (Robyn → PyMC-Marketing) — before any code</w:t>
      </w:r>
    </w:p>
    <w:p>
      <w:pPr>
        <w:pBdr>
          <w:left w:val="single" w:color="C97A22" w:sz="24"/>
        </w:pBdr>
        <w:shd w:fill="FBF3E7" w:val="clear"/>
        <w:spacing w:after="200" w:before="100"/>
        <w:ind w:left="172"/>
      </w:pPr>
      <w:r>
        <w:rPr>
          <w:b/>
          <w:bCs/>
          <w:i/>
          <w:iCs/>
        </w:rPr>
        <w:t xml:space="preserve">Your doubt:  </w:t>
      </w:r>
      <w:r>
        <w:rPr>
          <w:i/>
          <w:iCs/>
        </w:rPr>
        <w:t xml:space="preserve">The earlier suggested video playlist (Statistical Rethinking) was too long to watch — asked for something from PyMC's own YouTube channel instead, with documentation to follow alongside.</w:t>
      </w:r>
    </w:p>
    <w:p>
      <w:pPr>
        <w:pStyle w:val="Heading3"/>
        <w:spacing w:after="80" w:before="200"/>
      </w:pPr>
      <w:r>
        <w:t xml:space="preserve">Session 1 — PyMC core mechanics (~1 hour)</w:t>
      </w:r>
    </w:p>
    <w:p>
      <w:pPr>
        <w:spacing w:after="160" w:line="280"/>
      </w:pPr>
      <w:r>
        <w:t xml:space="preserve">Video: "Getting Started with PyMC" by Chris Fonnesbeck — a 1-hour official tutorial delivered by one of PyMC's core developers, covering PyMC v5 fundamentals, setup, and building a first Bayesian model. Covers the same ground as longer lecture series, scoped to practitioner speed.</w:t>
      </w:r>
    </w:p>
    <w:p>
      <w:pPr>
        <w:spacing w:after="160" w:line="280"/>
      </w:pPr>
      <w:r>
        <w:t xml:space="preserve">Follow alongside: PyMC's own "Introductory Overview of PyMC" notebook, which largely mirrors the video's content — pause the video and type the same model into your own notebook as it's built.</w:t>
      </w:r>
    </w:p>
    <w:p>
      <w:pPr>
        <w:spacing w:after="160" w:line="280"/>
      </w:pPr>
      <w:r>
        <w:t xml:space="preserve">What to focus on while watching: not deep MCMC theory at this stage — just get comfortable with the syntax pattern (with pm.Model(): ... pm.sample()), what a prior/posterior looks like in code, and reading a trace plot.</w:t>
      </w:r>
    </w:p>
    <w:p>
      <w:pPr>
        <w:pStyle w:val="Heading3"/>
        <w:spacing w:after="80" w:before="200"/>
      </w:pPr>
      <w:r>
        <w:t xml:space="preserve">Session 2 — PyMC-Marketing specifically (~45-60 min)</w:t>
      </w:r>
    </w:p>
    <w:p>
      <w:pPr>
        <w:spacing w:after="160" w:line="280"/>
      </w:pPr>
      <w:r>
        <w:t xml:space="preserve">Video: "PyMC-Marketing: Bayesian Approach to Marketing Data Science" — a PyMC Labs webinar from Ben Vincent (PyMC-Marketing's own team) covering the library's history and its two main components: MMM and CLV (Customer Lifetime Value).</w:t>
      </w:r>
    </w:p>
    <w:p>
      <w:pPr>
        <w:spacing w:after="160" w:line="280"/>
      </w:pPr>
      <w:r>
        <w:t xml:space="preserve">Follow alongside: PyMC-Marketing's Getting Started guide and the Introduction to Media Mix Modeling doc page — this is where the adstock/saturation/priors concepts already understood from Robyn get mapped onto PyMC-Marketing's actual API.</w:t>
      </w:r>
    </w:p>
    <w:p>
      <w:pPr>
        <w:pStyle w:val="Heading3"/>
        <w:spacing w:after="80" w:before="200"/>
      </w:pPr>
      <w:r>
        <w:t xml:space="preserve">Session 3 — Real code walkthrough with a live case study</w:t>
      </w:r>
    </w:p>
    <w:p>
      <w:pPr>
        <w:spacing w:after="160" w:line="280"/>
      </w:pPr>
      <w:r>
        <w:t xml:space="preserve">Video: "Bayesian Marketing Science – Solving Marketing's 3 Biggest Problems" — includes real code examples and a case study, applied rather than theoretical.</w:t>
      </w:r>
    </w:p>
    <w:p>
      <w:pPr>
        <w:spacing w:after="160" w:line="280"/>
      </w:pPr>
      <w:r>
        <w:t xml:space="preserve">Follow alongside: the MMM Example Notebook in PyMC-Marketing's example gallery — run this notebook cell-by-cell while/after watching, since it's the code-level equivalent of what's being presented.</w:t>
      </w:r>
    </w:p>
    <w:p>
      <w:pPr>
        <w:pStyle w:val="Heading3"/>
        <w:spacing w:after="80" w:before="200"/>
      </w:pPr>
      <w:r>
        <w:t xml:space="preserve">Bonus — no video needed, just play with it</w:t>
      </w:r>
    </w:p>
    <w:p>
      <w:pPr>
        <w:spacing w:after="160" w:line="280"/>
      </w:pPr>
      <w:r>
        <w:t xml:space="preserve">MMM Explainer App — an interactive Streamlit tool built by PyMC Labs specifically to visualize adstock, saturation, and Bayesian priors dynamically. Spend 15-20 minutes dragging the sliders here; since the Robyn concepts are already understood, this should click almost instantly.</w:t>
      </w:r>
    </w:p>
    <w:p>
      <w:pPr>
        <w:pStyle w:val="Heading3"/>
        <w:spacing w:after="80" w:before="200"/>
      </w:pPr>
      <w:r>
        <w:t xml:space="preserve">Suggested order for the week</w:t>
      </w:r>
    </w:p>
    <w:p>
      <w:pPr>
        <w:pStyle w:val="ListParagraph"/>
        <w:numPr>
          <w:ilvl w:val="0"/>
          <w:numId w:val="2"/>
        </w:numPr>
        <w:spacing w:after="100"/>
      </w:pPr>
      <w:r>
        <w:t xml:space="preserve">Session 1 video + docs (day 1-2)</w:t>
      </w:r>
    </w:p>
    <w:p>
      <w:pPr>
        <w:pStyle w:val="ListParagraph"/>
        <w:numPr>
          <w:ilvl w:val="0"/>
          <w:numId w:val="2"/>
        </w:numPr>
        <w:spacing w:after="100"/>
      </w:pPr>
      <w:r>
        <w:t xml:space="preserve">Rebuild synthetic Altima data as a plain Bayesian linear regression in PyMC (no adstock yet) — just to prove the syntax works end to end</w:t>
      </w:r>
    </w:p>
    <w:p>
      <w:pPr>
        <w:pStyle w:val="ListParagraph"/>
        <w:numPr>
          <w:ilvl w:val="0"/>
          <w:numId w:val="2"/>
        </w:numPr>
        <w:spacing w:after="100"/>
      </w:pPr>
      <w:r>
        <w:t xml:space="preserve">Session 2 video + docs</w:t>
      </w:r>
    </w:p>
    <w:p>
      <w:pPr>
        <w:pStyle w:val="ListParagraph"/>
        <w:numPr>
          <w:ilvl w:val="0"/>
          <w:numId w:val="2"/>
        </w:numPr>
        <w:spacing w:after="100"/>
      </w:pPr>
      <w:r>
        <w:t xml:space="preserve">Session 3 video, running the MMM Example Notebook alongside</w:t>
      </w:r>
    </w:p>
    <w:p>
      <w:pPr>
        <w:pStyle w:val="ListParagraph"/>
        <w:numPr>
          <w:ilvl w:val="0"/>
          <w:numId w:val="2"/>
        </w:numPr>
        <w:spacing w:after="100"/>
      </w:pPr>
      <w:r>
        <w:t xml:space="preserve">Play with the MMM Explainer App</w:t>
      </w:r>
    </w:p>
    <w:p>
      <w:pPr>
        <w:pStyle w:val="ListParagraph"/>
        <w:numPr>
          <w:ilvl w:val="0"/>
          <w:numId w:val="2"/>
        </w:numPr>
        <w:spacing w:after="100"/>
      </w:pPr>
      <w:r>
        <w:t xml:space="preserve">Return to own capstone code — swap the manual adstock/Ridge pipeline for pymc_marketing.mmm.MMM() on the same dataset, and compare results</w:t>
      </w:r>
    </w:p>
    <w:p>
      <w:pPr>
        <w:spacing w:after="160" w:line="280"/>
      </w:pPr>
      <w:r>
        <w:t xml:space="preserve">Total time: roughly 3 hours of video, versus the many-hour lecture series — and every video here is made by either PyMC's own core team or PyMC Labs (the company behind PyMC-Marketing), so nothing needs translating from generic Bayesian stats into PyMC syntax.</w:t>
      </w:r>
    </w:p>
    <w:p>
      <w:pPr>
        <w:pStyle w:val="Heading1"/>
        <w:pageBreakBefore/>
        <w:spacing w:after="100" w:before="480"/>
      </w:pPr>
      <w:r>
        <w:t xml:space="preserve">2. MCMC Theory — Getting Intuition Without a Full Course</w:t>
      </w:r>
    </w:p>
    <w:p>
      <w:pPr>
        <w:spacing w:after="140"/>
      </w:pPr>
      <w:r>
        <w:rPr>
          <w:b/>
          <w:bCs/>
          <w:color w:val="1BAF7A"/>
          <w:sz w:val="18"/>
          <w:szCs w:val="18"/>
        </w:rPr>
        <w:t xml:space="preserve">MMM STAGE:  </w:t>
      </w:r>
      <w:r>
        <w:rPr>
          <w:b/>
          <w:bCs/>
          <w:color w:val="1BAF7A"/>
          <w:sz w:val="18"/>
          <w:szCs w:val="18"/>
        </w:rPr>
        <w:t xml:space="preserve">Bayesian inference foundations — underlies the Model Fitting stage</w:t>
      </w:r>
    </w:p>
    <w:p>
      <w:pPr>
        <w:pBdr>
          <w:left w:val="single" w:color="C97A22" w:sz="24"/>
        </w:pBdr>
        <w:shd w:fill="FBF3E7" w:val="clear"/>
        <w:spacing w:after="200" w:before="100"/>
        <w:ind w:left="172"/>
      </w:pPr>
      <w:r>
        <w:rPr>
          <w:b/>
          <w:bCs/>
          <w:i/>
          <w:iCs/>
        </w:rPr>
        <w:t xml:space="preserve">Your doubt:  </w:t>
      </w:r>
      <w:r>
        <w:rPr>
          <w:i/>
          <w:iCs/>
        </w:rPr>
        <w:t xml:space="preserve">Wanted to actually understand MCMC theory, not just skip it as "don't worry about it for now."</w:t>
      </w:r>
    </w:p>
    <w:p>
      <w:pPr>
        <w:pStyle w:val="Heading3"/>
        <w:spacing w:after="80" w:before="200"/>
      </w:pPr>
      <w:r>
        <w:t xml:space="preserve">1. Interactive visualizer first (15 min, do this before reading anything)</w:t>
      </w:r>
    </w:p>
    <w:p>
      <w:pPr>
        <w:spacing w:after="160" w:line="280"/>
      </w:pPr>
      <w:r>
        <w:t xml:space="preserve">MCMC Interactive Gallery (chi-feng.github.io/mcmc-demo) — lets you watch different samplers (Metropolis-Hastings, HMC, NUTS) crawl across a probability distribution in real time. Switch between algorithms on the same target distribution: plain Metropolis-Hastings wanders randomly and rejects a lot of proposals, while NUTS (what PyMC uses by default) moves in smart, sweeping arcs guided by the shape of the distribution. This single visual is worth more than a page of equations for building real intuition.</w:t>
      </w:r>
    </w:p>
    <w:p>
      <w:pPr>
        <w:pStyle w:val="Heading3"/>
        <w:spacing w:after="80" w:before="200"/>
      </w:pPr>
      <w:r>
        <w:t xml:space="preserve">2. Short written explainer (10-15 min read)</w:t>
      </w:r>
    </w:p>
    <w:p>
      <w:pPr>
        <w:spacing w:after="160" w:line="280"/>
      </w:pPr>
      <w:r>
        <w:t xml:space="preserve">"A Zero-Math Introduction to Markov Chain Monte Carlo Methods" by Zhiya Zuo — explains the core idea (why sample the posterior instead of computing it directly, and how a "chain" of correlated guesses eventually approximates the true distribution) without requiring the underlying calculus.</w:t>
      </w:r>
    </w:p>
    <w:p>
      <w:pPr>
        <w:pStyle w:val="Heading3"/>
        <w:spacing w:after="80" w:before="200"/>
      </w:pPr>
      <w:r>
        <w:t xml:space="preserve">3. The official, PyMC-specific version of "why NUTS" (5-10 min read)</w:t>
      </w:r>
    </w:p>
    <w:p>
      <w:pPr>
        <w:spacing w:after="160" w:line="280"/>
      </w:pPr>
      <w:r>
        <w:t xml:space="preserve">PyMC's own Introductory Overview has a short conceptual paragraph on this. Key thing worth understanding: NUTS is a self-tuning variant of Hamiltonian Monte Carlo (HMC) that uses the gradient of the model's likelihood to intelligently steer where to sample next, rather than randomly guessing like classic Metropolis-Hastings — this is why it converges faster and is PyMC's default sampler. The physics analogy (a "particle" rolling around a probability landscape) doesn't need to be understood in depth — just that gradient-guided sampling is why NUTS is efficient enough for real datasets.</w:t>
      </w:r>
    </w:p>
    <w:p>
      <w:pPr>
        <w:pStyle w:val="Heading3"/>
        <w:spacing w:after="80" w:before="200"/>
      </w:pPr>
      <w:r>
        <w:t xml:space="preserve">What "enough understanding" looks like for practical purposes</w:t>
      </w:r>
    </w:p>
    <w:p>
      <w:pPr>
        <w:spacing w:after="160" w:line="280"/>
      </w:pPr>
      <w:r>
        <w:t xml:space="preserve">Not required: deriving detailed-balance conditions or implementing a sampler by hand. What's genuinely useful to be able to explain (e.g. in an interview):</w:t>
      </w:r>
    </w:p>
    <w:p>
      <w:pPr>
        <w:pStyle w:val="ListParagraph"/>
        <w:numPr>
          <w:ilvl w:val="0"/>
          <w:numId w:val="2"/>
        </w:numPr>
        <w:spacing w:after="100"/>
      </w:pPr>
      <w:r>
        <w:t xml:space="preserve">Why sample instead of calculate directly: the posterior for a real model is usually a high-dimensional integral with no closed-form solution — MCMC sidesteps this by drawing correlated samples that, over many iterations, approximate the true posterior shape.</w:t>
      </w:r>
    </w:p>
    <w:p>
      <w:pPr>
        <w:pStyle w:val="ListParagraph"/>
        <w:numPr>
          <w:ilvl w:val="0"/>
          <w:numId w:val="2"/>
        </w:numPr>
        <w:spacing w:after="100"/>
      </w:pPr>
      <w:r>
        <w:t xml:space="preserve">What a "chain" and "trace plot" mean: each sampler run produces a sequence of parameter guesses; plotting them over iterations (a trace plot) should look like a flat, fuzzy "hairy caterpillar" if converged well — anything trending or drifting means the sampler hasn't settled.</w:t>
      </w:r>
    </w:p>
    <w:p>
      <w:pPr>
        <w:pStyle w:val="ListParagraph"/>
        <w:numPr>
          <w:ilvl w:val="0"/>
          <w:numId w:val="2"/>
        </w:numPr>
        <w:spacing w:after="100"/>
      </w:pPr>
      <w:r>
        <w:t xml:space="preserve">Why NUTS specifically: smarter and faster than plain Metropolis-Hastings because it uses gradient information, which is why it can handle multi-parameter models (adstock theta, saturation alpha/gamma, per-channel coefficients, all at once).</w:t>
      </w:r>
    </w:p>
    <w:p>
      <w:pPr>
        <w:pStyle w:val="ListParagraph"/>
        <w:numPr>
          <w:ilvl w:val="0"/>
          <w:numId w:val="2"/>
        </w:numPr>
        <w:spacing w:after="100"/>
      </w:pPr>
      <w:r>
        <w:t xml:space="preserve">What to check for convergence: R-hat close to 1.0, no divergences reported, trace plots that look stationary — practical diagnostics ArviZ hands you automatically after every pm.sample() call, no need to compute by hand.</w:t>
      </w:r>
    </w:p>
    <w:p>
      <w:pPr>
        <w:spacing w:after="160" w:line="280"/>
      </w:pPr>
      <w:r>
        <w:t xml:space="preserve">Going deeper (Hamiltonian dynamics, leapfrog integrators, detailed balance proofs) is optional, mainly necessary only when debugging sampler pathologies (divergences, poor mixing) in a real model — at that point, Michael Betancourt's "Conceptual Introduction to Hamiltonian Monte Carlo" is the reference to reach for.</w:t>
      </w:r>
    </w:p>
    <w:p>
      <w:pPr>
        <w:pStyle w:val="Heading1"/>
        <w:pageBreakBefore/>
        <w:spacing w:after="100" w:before="480"/>
      </w:pPr>
      <w:r>
        <w:t xml:space="preserve">3. Setting Up PyMC in a New VS Code Environment</w:t>
      </w:r>
    </w:p>
    <w:p>
      <w:pPr>
        <w:spacing w:after="140"/>
      </w:pPr>
      <w:r>
        <w:rPr>
          <w:b/>
          <w:bCs/>
          <w:color w:val="1BAF7A"/>
          <w:sz w:val="18"/>
          <w:szCs w:val="18"/>
        </w:rPr>
        <w:t xml:space="preserve">MMM STAGE:  </w:t>
      </w:r>
      <w:r>
        <w:rPr>
          <w:b/>
          <w:bCs/>
          <w:color w:val="1BAF7A"/>
          <w:sz w:val="18"/>
          <w:szCs w:val="18"/>
        </w:rPr>
        <w:t xml:space="preserve">Environment / tooling setup — precondition for the Model Fitting stage</w:t>
      </w:r>
    </w:p>
    <w:p>
      <w:pPr>
        <w:pBdr>
          <w:left w:val="single" w:color="C97A22" w:sz="24"/>
        </w:pBdr>
        <w:shd w:fill="FBF3E7" w:val="clear"/>
        <w:spacing w:after="200" w:before="100"/>
        <w:ind w:left="172"/>
      </w:pPr>
      <w:r>
        <w:rPr>
          <w:b/>
          <w:bCs/>
          <w:i/>
          <w:iCs/>
        </w:rPr>
        <w:t xml:space="preserve">Your doubt:  </w:t>
      </w:r>
      <w:r>
        <w:rPr>
          <w:i/>
          <w:iCs/>
        </w:rPr>
        <w:t xml:space="preserve">Wanted a dedicated environment for MMM work only, then explicitly asked for runnable code to execute directly rather than a description.</w:t>
      </w:r>
    </w:p>
    <w:p>
      <w:pPr>
        <w:pStyle w:val="Heading3"/>
        <w:spacing w:after="80" w:before="200"/>
      </w:pPr>
      <w:r>
        <w:t xml:space="preserve">Step 1 — Create the project folder and open it in VS Code</w:t>
      </w:r>
    </w:p>
    <w:p>
      <w:pPr>
        <w:pBdr>
          <w:left w:val="single" w:color="1BAF7A" w:sz="18"/>
        </w:pBdr>
        <w:shd w:fill="F2F1EC" w:val="clear"/>
        <w:spacing w:after="160" w:before="100"/>
        <w:ind w:left="360"/>
      </w:pPr>
      <w:r>
        <w:rPr>
          <w:rFonts w:ascii="Consolas" w:cs="Consolas" w:eastAsia="Consolas" w:hAnsi="Consolas"/>
          <w:sz w:val="19"/>
          <w:szCs w:val="19"/>
        </w:rPr>
        <w:t xml:space="preserve">mkdir mmm-project</w:t>
      </w:r>
      <w:r>
        <w:rPr>
          <w:rFonts w:ascii="Consolas" w:cs="Consolas" w:eastAsia="Consolas" w:hAnsi="Consolas"/>
          <w:sz w:val="19"/>
          <w:szCs w:val="19"/>
        </w:rPr>
        <w:br/>
        <w:t xml:space="preserve">cd mmm-project</w:t>
      </w:r>
      <w:r>
        <w:rPr>
          <w:rFonts w:ascii="Consolas" w:cs="Consolas" w:eastAsia="Consolas" w:hAnsi="Consolas"/>
          <w:sz w:val="19"/>
          <w:szCs w:val="19"/>
        </w:rPr>
        <w:br/>
        <w:t xml:space="preserve">code .</w:t>
      </w:r>
    </w:p>
    <w:p>
      <w:pPr>
        <w:pStyle w:val="Heading3"/>
        <w:spacing w:after="80" w:before="200"/>
      </w:pPr>
      <w:r>
        <w:t xml:space="preserve">Step 2 — Create a virtual environment (VS Code integrated terminal, Ctrl+`)</w:t>
      </w:r>
    </w:p>
    <w:p>
      <w:pPr>
        <w:spacing w:after="160" w:line="280"/>
      </w:pPr>
      <w:r>
        <w:t xml:space="preserve">Windows (PowerShell):</w:t>
      </w:r>
    </w:p>
    <w:p>
      <w:pPr>
        <w:pBdr>
          <w:left w:val="single" w:color="1BAF7A" w:sz="18"/>
        </w:pBdr>
        <w:shd w:fill="F2F1EC" w:val="clear"/>
        <w:spacing w:after="160" w:before="100"/>
        <w:ind w:left="360"/>
      </w:pPr>
      <w:r>
        <w:rPr>
          <w:rFonts w:ascii="Consolas" w:cs="Consolas" w:eastAsia="Consolas" w:hAnsi="Consolas"/>
          <w:sz w:val="19"/>
          <w:szCs w:val="19"/>
        </w:rPr>
        <w:t xml:space="preserve">python -m venv venv</w:t>
      </w:r>
      <w:r>
        <w:rPr>
          <w:rFonts w:ascii="Consolas" w:cs="Consolas" w:eastAsia="Consolas" w:hAnsi="Consolas"/>
          <w:sz w:val="19"/>
          <w:szCs w:val="19"/>
        </w:rPr>
        <w:br/>
        <w:t xml:space="preserve">venv\Scripts\Activate.ps1</w:t>
      </w:r>
    </w:p>
    <w:p>
      <w:pPr>
        <w:spacing w:after="160" w:line="280"/>
      </w:pPr>
      <w:r>
        <w:t xml:space="preserve">Mac/Linux:</w:t>
      </w:r>
    </w:p>
    <w:p>
      <w:pPr>
        <w:pBdr>
          <w:left w:val="single" w:color="1BAF7A" w:sz="18"/>
        </w:pBdr>
        <w:shd w:fill="F2F1EC" w:val="clear"/>
        <w:spacing w:after="160" w:before="100"/>
        <w:ind w:left="360"/>
      </w:pPr>
      <w:r>
        <w:rPr>
          <w:rFonts w:ascii="Consolas" w:cs="Consolas" w:eastAsia="Consolas" w:hAnsi="Consolas"/>
          <w:sz w:val="19"/>
          <w:szCs w:val="19"/>
        </w:rPr>
        <w:t xml:space="preserve">python3 -m venv venv</w:t>
      </w:r>
      <w:r>
        <w:rPr>
          <w:rFonts w:ascii="Consolas" w:cs="Consolas" w:eastAsia="Consolas" w:hAnsi="Consolas"/>
          <w:sz w:val="19"/>
          <w:szCs w:val="19"/>
        </w:rPr>
        <w:br/>
        <w:t xml:space="preserve">source venv/bin/activate</w:t>
      </w:r>
    </w:p>
    <w:p>
      <w:pPr>
        <w:spacing w:after="160" w:line="280"/>
      </w:pPr>
      <w:r>
        <w:t xml:space="preserve">The terminal prompt shows (venv) at the start of the line once active. If PowerShell blocks the activation script with a permissions error: Set-ExecutionPolicy -Scope CurrentUser -ExecutionPolicy RemoteSigned (run once).</w:t>
      </w:r>
    </w:p>
    <w:p>
      <w:pPr>
        <w:pStyle w:val="Heading3"/>
        <w:spacing w:after="80" w:before="200"/>
      </w:pPr>
      <w:r>
        <w:t xml:space="preserve">Step 3 — Install packages</w:t>
      </w:r>
    </w:p>
    <w:p>
      <w:pPr>
        <w:pBdr>
          <w:left w:val="single" w:color="1BAF7A" w:sz="18"/>
        </w:pBdr>
        <w:shd w:fill="F2F1EC" w:val="clear"/>
        <w:spacing w:after="160" w:before="100"/>
        <w:ind w:left="360"/>
      </w:pPr>
      <w:r>
        <w:rPr>
          <w:rFonts w:ascii="Consolas" w:cs="Consolas" w:eastAsia="Consolas" w:hAnsi="Consolas"/>
          <w:sz w:val="19"/>
          <w:szCs w:val="19"/>
        </w:rPr>
        <w:t xml:space="preserve">python -m pip install --upgrade pip</w:t>
      </w:r>
      <w:r>
        <w:rPr>
          <w:rFonts w:ascii="Consolas" w:cs="Consolas" w:eastAsia="Consolas" w:hAnsi="Consolas"/>
          <w:sz w:val="19"/>
          <w:szCs w:val="19"/>
        </w:rPr>
        <w:br/>
        <w:t xml:space="preserve">pip install pymc pymc-marketing jupyter arviz matplotlib pandas</w:t>
      </w:r>
    </w:p>
    <w:p>
      <w:pPr>
        <w:spacing w:after="160" w:line="280"/>
      </w:pPr>
      <w:r>
        <w:t xml:space="preserve">Takes a few minutes — PyMC pulls in PyTensor and several compiled dependencies.</w:t>
      </w:r>
    </w:p>
    <w:p>
      <w:pPr>
        <w:pStyle w:val="Heading3"/>
        <w:spacing w:after="80" w:before="200"/>
      </w:pPr>
      <w:r>
        <w:t xml:space="preserve">Step 4 — Point VS Code at this environment</w:t>
      </w:r>
    </w:p>
    <w:p>
      <w:pPr>
        <w:pStyle w:val="ListParagraph"/>
        <w:numPr>
          <w:ilvl w:val="0"/>
          <w:numId w:val="2"/>
        </w:numPr>
        <w:spacing w:after="100"/>
      </w:pPr>
      <w:r>
        <w:t xml:space="preserve">Command Palette (Ctrl+Shift+P / Cmd+Shift+P) -&gt; "Python: Select Interpreter"</w:t>
      </w:r>
    </w:p>
    <w:p>
      <w:pPr>
        <w:pStyle w:val="ListParagraph"/>
        <w:numPr>
          <w:ilvl w:val="0"/>
          <w:numId w:val="2"/>
        </w:numPr>
        <w:spacing w:after="100"/>
      </w:pPr>
      <w:r>
        <w:t xml:space="preserve">Choose the one showing ./venv/bin/python (or .\venv\Scripts\python.exe on Windows)</w:t>
      </w:r>
    </w:p>
    <w:p>
      <w:pPr>
        <w:pStyle w:val="ListParagraph"/>
        <w:numPr>
          <w:ilvl w:val="0"/>
          <w:numId w:val="2"/>
        </w:numPr>
        <w:spacing w:after="100"/>
      </w:pPr>
      <w:r>
        <w:t xml:space="preserve">Install the Python and Jupyter extensions if not already present (ms-python.python, ms-toolsai.jupyter)</w:t>
      </w:r>
    </w:p>
    <w:p>
      <w:pPr>
        <w:pStyle w:val="Heading3"/>
        <w:spacing w:after="80" w:before="200"/>
      </w:pPr>
      <w:r>
        <w:t xml:space="preserve">Step 5 — Test file (test_setup.py)</w:t>
      </w:r>
    </w:p>
    <w:p>
      <w:pPr>
        <w:pBdr>
          <w:left w:val="single" w:color="1BAF7A" w:sz="18"/>
        </w:pBdr>
        <w:shd w:fill="F2F1EC" w:val="clear"/>
        <w:spacing w:after="160" w:before="100"/>
        <w:ind w:left="360"/>
      </w:pPr>
      <w:r>
        <w:rPr>
          <w:rFonts w:ascii="Consolas" w:cs="Consolas" w:eastAsia="Consolas" w:hAnsi="Consolas"/>
          <w:sz w:val="19"/>
          <w:szCs w:val="19"/>
        </w:rPr>
        <w:t xml:space="preserve"># %%</w:t>
      </w:r>
      <w:r>
        <w:rPr>
          <w:rFonts w:ascii="Consolas" w:cs="Consolas" w:eastAsia="Consolas" w:hAnsi="Consolas"/>
          <w:sz w:val="19"/>
          <w:szCs w:val="19"/>
        </w:rPr>
        <w:br/>
        <w:t xml:space="preserve">import pymc as pm</w:t>
      </w:r>
      <w:r>
        <w:rPr>
          <w:rFonts w:ascii="Consolas" w:cs="Consolas" w:eastAsia="Consolas" w:hAnsi="Consolas"/>
          <w:sz w:val="19"/>
          <w:szCs w:val="19"/>
        </w:rPr>
        <w:br/>
        <w:t xml:space="preserve">import pymc_marketing</w:t>
      </w:r>
      <w:r>
        <w:rPr>
          <w:rFonts w:ascii="Consolas" w:cs="Consolas" w:eastAsia="Consolas" w:hAnsi="Consolas"/>
          <w:sz w:val="19"/>
          <w:szCs w:val="19"/>
        </w:rPr>
        <w:br/>
        <w:t xml:space="preserve">import arviz as az</w:t>
      </w:r>
      <w:r>
        <w:rPr>
          <w:rFonts w:ascii="Consolas" w:cs="Consolas" w:eastAsia="Consolas" w:hAnsi="Consolas"/>
          <w:sz w:val="19"/>
          <w:szCs w:val="19"/>
        </w:rPr>
        <w:br/>
        <w:t xml:space="preserve">import numpy as np</w:t>
      </w:r>
      <w:r>
        <w:rPr>
          <w:rFonts w:ascii="Consolas" w:cs="Consolas" w:eastAsia="Consolas" w:hAnsi="Consolas"/>
          <w:sz w:val="19"/>
          <w:szCs w:val="19"/>
        </w:rPr>
        <w:br/>
        <w:t xml:space="preserve"/>
      </w:r>
      <w:r>
        <w:rPr>
          <w:rFonts w:ascii="Consolas" w:cs="Consolas" w:eastAsia="Consolas" w:hAnsi="Consolas"/>
          <w:sz w:val="19"/>
          <w:szCs w:val="19"/>
        </w:rPr>
        <w:br/>
        <w:t xml:space="preserve">print("pymc:", pm.__version__)</w:t>
      </w:r>
      <w:r>
        <w:rPr>
          <w:rFonts w:ascii="Consolas" w:cs="Consolas" w:eastAsia="Consolas" w:hAnsi="Consolas"/>
          <w:sz w:val="19"/>
          <w:szCs w:val="19"/>
        </w:rPr>
        <w:br/>
        <w:t xml:space="preserve">print("pymc-marketing:", pymc_marketing.__version__)</w:t>
      </w:r>
      <w:r>
        <w:rPr>
          <w:rFonts w:ascii="Consolas" w:cs="Consolas" w:eastAsia="Consolas" w:hAnsi="Consolas"/>
          <w:sz w:val="19"/>
          <w:szCs w:val="19"/>
        </w:rPr>
        <w:br/>
        <w:t xml:space="preserve">print("arviz:", az.__version__)</w:t>
      </w:r>
      <w:r>
        <w:rPr>
          <w:rFonts w:ascii="Consolas" w:cs="Consolas" w:eastAsia="Consolas" w:hAnsi="Consolas"/>
          <w:sz w:val="19"/>
          <w:szCs w:val="19"/>
        </w:rPr>
        <w:br/>
        <w:t xml:space="preserve"/>
      </w:r>
      <w:r>
        <w:rPr>
          <w:rFonts w:ascii="Consolas" w:cs="Consolas" w:eastAsia="Consolas" w:hAnsi="Consolas"/>
          <w:sz w:val="19"/>
          <w:szCs w:val="19"/>
        </w:rPr>
        <w:br/>
        <w:t xml:space="preserve"># %%</w:t>
      </w:r>
      <w:r>
        <w:rPr>
          <w:rFonts w:ascii="Consolas" w:cs="Consolas" w:eastAsia="Consolas" w:hAnsi="Consolas"/>
          <w:sz w:val="19"/>
          <w:szCs w:val="19"/>
        </w:rPr>
        <w:br/>
        <w:t xml:space="preserve">with pm.Model() as model:</w:t>
      </w:r>
      <w:r>
        <w:rPr>
          <w:rFonts w:ascii="Consolas" w:cs="Consolas" w:eastAsia="Consolas" w:hAnsi="Consolas"/>
          <w:sz w:val="19"/>
          <w:szCs w:val="19"/>
        </w:rPr>
        <w:br/>
        <w:t xml:space="preserve">    mu = pm.Normal("mu", mu=0, sigma=1)</w:t>
      </w:r>
      <w:r>
        <w:rPr>
          <w:rFonts w:ascii="Consolas" w:cs="Consolas" w:eastAsia="Consolas" w:hAnsi="Consolas"/>
          <w:sz w:val="19"/>
          <w:szCs w:val="19"/>
        </w:rPr>
        <w:br/>
        <w:t xml:space="preserve">    sigma = pm.HalfNormal("sigma", sigma=1)</w:t>
      </w:r>
      <w:r>
        <w:rPr>
          <w:rFonts w:ascii="Consolas" w:cs="Consolas" w:eastAsia="Consolas" w:hAnsi="Consolas"/>
          <w:sz w:val="19"/>
          <w:szCs w:val="19"/>
        </w:rPr>
        <w:br/>
        <w:t xml:space="preserve">    obs = pm.Normal("obs", mu=mu, sigma=sigma, observed=np.random.randn(50))</w:t>
      </w:r>
      <w:r>
        <w:rPr>
          <w:rFonts w:ascii="Consolas" w:cs="Consolas" w:eastAsia="Consolas" w:hAnsi="Consolas"/>
          <w:sz w:val="19"/>
          <w:szCs w:val="19"/>
        </w:rPr>
        <w:br/>
        <w:t xml:space="preserve">    trace = pm.sample(500, tune=500, chains=2, progressbar=False)</w:t>
      </w:r>
      <w:r>
        <w:rPr>
          <w:rFonts w:ascii="Consolas" w:cs="Consolas" w:eastAsia="Consolas" w:hAnsi="Consolas"/>
          <w:sz w:val="19"/>
          <w:szCs w:val="19"/>
        </w:rPr>
        <w:br/>
        <w:t xml:space="preserve"/>
      </w:r>
      <w:r>
        <w:rPr>
          <w:rFonts w:ascii="Consolas" w:cs="Consolas" w:eastAsia="Consolas" w:hAnsi="Consolas"/>
          <w:sz w:val="19"/>
          <w:szCs w:val="19"/>
        </w:rPr>
        <w:br/>
        <w:t xml:space="preserve">print("Sampling succeeded")</w:t>
      </w:r>
      <w:r>
        <w:rPr>
          <w:rFonts w:ascii="Consolas" w:cs="Consolas" w:eastAsia="Consolas" w:hAnsi="Consolas"/>
          <w:sz w:val="19"/>
          <w:szCs w:val="19"/>
        </w:rPr>
        <w:br/>
        <w:t xml:space="preserve">print("Posterior mean of mu:", trace.posterior["mu"].mean().item())</w:t>
      </w:r>
    </w:p>
    <w:p>
      <w:pPr>
        <w:spacing w:after="160" w:line="280"/>
      </w:pPr>
      <w:r>
        <w:t xml:space="preserve">Expected output: version numbers printed, then a NUTS sampling log, ending with "Sampling succeeded" and a posterior mean close to 0.</w:t>
      </w:r>
    </w:p>
    <w:p>
      <w:pPr>
        <w:spacing w:after="160" w:line="280"/>
      </w:pPr>
      <w:r>
        <w:t xml:space="preserve">Known quirk: if pm.sample() throws a ZeroDivisionError related to blas_cores (a CPU-core-detection issue), add cores=1 to the pm.sample() call as a workaround.</w:t>
      </w:r>
    </w:p>
    <w:p>
      <w:pPr>
        <w:spacing w:after="160" w:line="280"/>
      </w:pPr>
      <w:r>
        <w:t xml:space="preserve">Versions actually verified while testing this setup: pymc 6.0.1, pymc-marketing 1.0.0, arviz 1.3.0 — confirmed by installing fresh and running the test script, not guessed.</w:t>
      </w:r>
    </w:p>
    <w:p>
      <w:pPr>
        <w:pStyle w:val="Heading1"/>
        <w:pageBreakBefore/>
        <w:spacing w:after="100" w:before="480"/>
      </w:pPr>
      <w:r>
        <w:t xml:space="preserve">4. Naming the Environment "mmm_env"</w:t>
      </w:r>
    </w:p>
    <w:p>
      <w:pPr>
        <w:spacing w:after="140"/>
      </w:pPr>
      <w:r>
        <w:rPr>
          <w:b/>
          <w:bCs/>
          <w:color w:val="1BAF7A"/>
          <w:sz w:val="18"/>
          <w:szCs w:val="18"/>
        </w:rPr>
        <w:t xml:space="preserve">MMM STAGE:  </w:t>
      </w:r>
      <w:r>
        <w:rPr>
          <w:b/>
          <w:bCs/>
          <w:color w:val="1BAF7A"/>
          <w:sz w:val="18"/>
          <w:szCs w:val="18"/>
        </w:rPr>
        <w:t xml:space="preserve">Environment setup</w:t>
      </w:r>
    </w:p>
    <w:p>
      <w:pPr>
        <w:pBdr>
          <w:left w:val="single" w:color="C97A22" w:sz="24"/>
        </w:pBdr>
        <w:shd w:fill="FBF3E7" w:val="clear"/>
        <w:spacing w:after="200" w:before="100"/>
        <w:ind w:left="172"/>
      </w:pPr>
      <w:r>
        <w:rPr>
          <w:b/>
          <w:bCs/>
          <w:i/>
          <w:iCs/>
        </w:rPr>
        <w:t xml:space="preserve">Your doubt:  </w:t>
      </w:r>
      <w:r>
        <w:rPr>
          <w:i/>
          <w:iCs/>
        </w:rPr>
        <w:t xml:space="preserve">Wanted the environment specifically named mmm_env instead of the generic "venv".</w:t>
      </w:r>
    </w:p>
    <w:p>
      <w:pPr>
        <w:pStyle w:val="Heading3"/>
        <w:spacing w:after="80" w:before="200"/>
      </w:pPr>
      <w:r>
        <w:t xml:space="preserve">Creating it fresh with the name</w:t>
      </w:r>
    </w:p>
    <w:p>
      <w:pPr>
        <w:spacing w:after="160" w:line="280"/>
      </w:pPr>
      <w:r>
        <w:t xml:space="preserve">Windows (PowerShell):</w:t>
      </w:r>
    </w:p>
    <w:p>
      <w:pPr>
        <w:pBdr>
          <w:left w:val="single" w:color="1BAF7A" w:sz="18"/>
        </w:pBdr>
        <w:shd w:fill="F2F1EC" w:val="clear"/>
        <w:spacing w:after="160" w:before="100"/>
        <w:ind w:left="360"/>
      </w:pPr>
      <w:r>
        <w:rPr>
          <w:rFonts w:ascii="Consolas" w:cs="Consolas" w:eastAsia="Consolas" w:hAnsi="Consolas"/>
          <w:sz w:val="19"/>
          <w:szCs w:val="19"/>
        </w:rPr>
        <w:t xml:space="preserve">python -m venv mmm_env</w:t>
      </w:r>
      <w:r>
        <w:rPr>
          <w:rFonts w:ascii="Consolas" w:cs="Consolas" w:eastAsia="Consolas" w:hAnsi="Consolas"/>
          <w:sz w:val="19"/>
          <w:szCs w:val="19"/>
        </w:rPr>
        <w:br/>
        <w:t xml:space="preserve">mmm_env\Scripts\Activate.ps1</w:t>
      </w:r>
    </w:p>
    <w:p>
      <w:pPr>
        <w:spacing w:after="160" w:line="280"/>
      </w:pPr>
      <w:r>
        <w:t xml:space="preserve">Mac/Linux:</w:t>
      </w:r>
    </w:p>
    <w:p>
      <w:pPr>
        <w:pBdr>
          <w:left w:val="single" w:color="1BAF7A" w:sz="18"/>
        </w:pBdr>
        <w:shd w:fill="F2F1EC" w:val="clear"/>
        <w:spacing w:after="160" w:before="100"/>
        <w:ind w:left="360"/>
      </w:pPr>
      <w:r>
        <w:rPr>
          <w:rFonts w:ascii="Consolas" w:cs="Consolas" w:eastAsia="Consolas" w:hAnsi="Consolas"/>
          <w:sz w:val="19"/>
          <w:szCs w:val="19"/>
        </w:rPr>
        <w:t xml:space="preserve">python3 -m venv mmm_env</w:t>
      </w:r>
      <w:r>
        <w:rPr>
          <w:rFonts w:ascii="Consolas" w:cs="Consolas" w:eastAsia="Consolas" w:hAnsi="Consolas"/>
          <w:sz w:val="19"/>
          <w:szCs w:val="19"/>
        </w:rPr>
        <w:br/>
        <w:t xml:space="preserve">source mmm_env/bin/activate</w:t>
      </w:r>
    </w:p>
    <w:p>
      <w:pPr>
        <w:spacing w:after="160" w:line="280"/>
      </w:pPr>
      <w:r>
        <w:t xml:space="preserve">Terminal prompt should now show (mmm_env) at the start of the line.</w:t>
      </w:r>
    </w:p>
    <w:p>
      <w:pPr>
        <w:pStyle w:val="Heading3"/>
        <w:spacing w:after="80" w:before="200"/>
      </w:pPr>
      <w:r>
        <w:t xml:space="preserve">Pointing VS Code at it</w:t>
      </w:r>
    </w:p>
    <w:p>
      <w:pPr>
        <w:spacing w:after="160" w:line="280"/>
      </w:pPr>
      <w:r>
        <w:t xml:space="preserve">Command Palette -&gt; "Python: Select Interpreter" -&gt; choose ./mmm_env/bin/python (Mac/Linux) or .\mmm_env\Scripts\python.exe (Windows).</w:t>
      </w:r>
    </w:p>
    <w:p>
      <w:pPr>
        <w:pStyle w:val="Heading3"/>
        <w:spacing w:after="80" w:before="200"/>
      </w:pPr>
      <w:r>
        <w:t xml:space="preserve">If a "venv" folder already exists and needs renaming instead</w:t>
      </w:r>
    </w:p>
    <w:p>
      <w:pPr>
        <w:spacing w:after="160" w:line="280"/>
      </w:pPr>
      <w:r>
        <w:t xml:space="preserve">Don't rename the folder directly — venvs bake absolute paths into their internal activation scripts, so renaming breaks it. Delete and recreate instead:</w:t>
      </w:r>
    </w:p>
    <w:p>
      <w:pPr>
        <w:pBdr>
          <w:left w:val="single" w:color="1BAF7A" w:sz="18"/>
        </w:pBdr>
        <w:shd w:fill="F2F1EC" w:val="clear"/>
        <w:spacing w:after="160" w:before="100"/>
        <w:ind w:left="360"/>
      </w:pPr>
      <w:r>
        <w:rPr>
          <w:rFonts w:ascii="Consolas" w:cs="Consolas" w:eastAsia="Consolas" w:hAnsi="Consolas"/>
          <w:sz w:val="19"/>
          <w:szCs w:val="19"/>
        </w:rPr>
        <w:t xml:space="preserve">deactivate</w:t>
      </w:r>
      <w:r>
        <w:rPr>
          <w:rFonts w:ascii="Consolas" w:cs="Consolas" w:eastAsia="Consolas" w:hAnsi="Consolas"/>
          <w:sz w:val="19"/>
          <w:szCs w:val="19"/>
        </w:rPr>
        <w:br/>
        <w:t xml:space="preserve">rm -rf venv          # Mac/Linux</w:t>
      </w:r>
      <w:r>
        <w:rPr>
          <w:rFonts w:ascii="Consolas" w:cs="Consolas" w:eastAsia="Consolas" w:hAnsi="Consolas"/>
          <w:sz w:val="19"/>
          <w:szCs w:val="19"/>
        </w:rPr>
        <w:br/>
        <w:t xml:space="preserve">rmdir /s venv         # Windows (cmd)</w:t>
      </w:r>
      <w:r>
        <w:rPr>
          <w:rFonts w:ascii="Consolas" w:cs="Consolas" w:eastAsia="Consolas" w:hAnsi="Consolas"/>
          <w:sz w:val="19"/>
          <w:szCs w:val="19"/>
        </w:rPr>
        <w:br/>
        <w:t xml:space="preserve"/>
      </w:r>
      <w:r>
        <w:rPr>
          <w:rFonts w:ascii="Consolas" w:cs="Consolas" w:eastAsia="Consolas" w:hAnsi="Consolas"/>
          <w:sz w:val="19"/>
          <w:szCs w:val="19"/>
        </w:rPr>
        <w:br/>
        <w:t xml:space="preserve">python -m venv mmm_env</w:t>
      </w:r>
    </w:p>
    <w:p>
      <w:pPr>
        <w:spacing w:after="160" w:line="280"/>
      </w:pPr>
      <w:r>
        <w:t xml:space="preserve">Then reinstall packages the same way as the original setup (activate, upgrade pip, install pymc/pymc-marketing/jupyter/arviz/matplotlib/pandas). Everything else — the test script, interpreter selection — works identically; mmm_env is just a name and doesn't change any mechanics.</w:t>
      </w:r>
    </w:p>
    <w:p>
      <w:pPr>
        <w:pStyle w:val="Heading1"/>
        <w:pageBreakBefore/>
        <w:spacing w:after="100" w:before="480"/>
      </w:pPr>
      <w:r>
        <w:t xml:space="preserve">5. Windows Store Python Breaking venv Creation</w:t>
      </w:r>
    </w:p>
    <w:p>
      <w:pPr>
        <w:spacing w:after="140"/>
      </w:pPr>
      <w:r>
        <w:rPr>
          <w:b/>
          <w:bCs/>
          <w:color w:val="1BAF7A"/>
          <w:sz w:val="18"/>
          <w:szCs w:val="18"/>
        </w:rPr>
        <w:t xml:space="preserve">MMM STAGE:  </w:t>
      </w:r>
      <w:r>
        <w:rPr>
          <w:b/>
          <w:bCs/>
          <w:color w:val="1BAF7A"/>
          <w:sz w:val="18"/>
          <w:szCs w:val="18"/>
        </w:rPr>
        <w:t xml:space="preserve">Environment setup — troubleshooting</w:t>
      </w:r>
    </w:p>
    <w:p>
      <w:pPr>
        <w:pBdr>
          <w:left w:val="single" w:color="C97A22" w:sz="24"/>
        </w:pBdr>
        <w:shd w:fill="FBF3E7" w:val="clear"/>
        <w:spacing w:after="200" w:before="100"/>
        <w:ind w:left="172"/>
      </w:pPr>
      <w:r>
        <w:rPr>
          <w:b/>
          <w:bCs/>
          <w:i/>
          <w:iCs/>
        </w:rPr>
        <w:t xml:space="preserve">Your doubt:  </w:t>
      </w:r>
      <w:r>
        <w:rPr>
          <w:i/>
          <w:iCs/>
        </w:rPr>
        <w:t xml:space="preserve">Pasted a traceback: python -m venv mmm_env hung and crashed with a ZeroDivisionError / KeyboardInterrupt, with a WindowsApps path visible in the trace.</w:t>
      </w:r>
    </w:p>
    <w:p>
      <w:pPr>
        <w:spacing w:after="160" w:line="280"/>
      </w:pPr>
      <w:r>
        <w:t xml:space="preserve">Diagnosis: the WindowsApps\PythonSoftwareFoundation.Python... path in the traceback is the giveaway — this is the Microsoft Store version of Python, which sandboxes itself in ways that frequently break venv's pip bootstrap step, hanging until forced to Ctrl+C.</w:t>
      </w:r>
    </w:p>
    <w:p>
      <w:pPr>
        <w:pStyle w:val="Heading3"/>
        <w:spacing w:after="80" w:before="200"/>
      </w:pPr>
      <w:r>
        <w:t xml:space="preserve">Fix: install real Python from python.org instead</w:t>
      </w:r>
    </w:p>
    <w:p>
      <w:pPr>
        <w:pStyle w:val="ListParagraph"/>
        <w:numPr>
          <w:ilvl w:val="0"/>
          <w:numId w:val="2"/>
        </w:numPr>
        <w:spacing w:after="100"/>
      </w:pPr>
      <w:r>
        <w:t xml:space="preserve">Uninstall the Store version (optional but recommended): Settings -&gt; Apps -&gt; search "Python" -&gt; Uninstall.</w:t>
      </w:r>
    </w:p>
    <w:p>
      <w:pPr>
        <w:pStyle w:val="ListParagraph"/>
        <w:numPr>
          <w:ilvl w:val="0"/>
          <w:numId w:val="2"/>
        </w:numPr>
        <w:spacing w:after="100"/>
      </w:pPr>
      <w:r>
        <w:t xml:space="preserve">Download the Windows installer from python.org/downloads — Python 3.11 or 3.12 (avoid 3.13 initially since some scientific packages lag behind on brand-new Python versions).</w:t>
      </w:r>
    </w:p>
    <w:p>
      <w:pPr>
        <w:pStyle w:val="ListParagraph"/>
        <w:numPr>
          <w:ilvl w:val="0"/>
          <w:numId w:val="2"/>
        </w:numPr>
        <w:spacing w:after="100"/>
      </w:pPr>
      <w:r>
        <w:t xml:space="preserve">Run the installer. Important: check "Add python.exe to PATH" on the first screen before clicking Install.</w:t>
      </w:r>
    </w:p>
    <w:p>
      <w:pPr>
        <w:pStyle w:val="ListParagraph"/>
        <w:numPr>
          <w:ilvl w:val="0"/>
          <w:numId w:val="2"/>
        </w:numPr>
        <w:spacing w:after="100"/>
      </w:pPr>
      <w:r>
        <w:t xml:space="preserve">Close and reopen VS Code (and any open terminals) so it picks up the new Python.</w:t>
      </w:r>
    </w:p>
    <w:p>
      <w:pPr>
        <w:pStyle w:val="Heading3"/>
        <w:spacing w:after="80" w:before="200"/>
      </w:pPr>
      <w:r>
        <w:t xml:space="preserve">Verify the right Python is being used</w:t>
      </w:r>
    </w:p>
    <w:p>
      <w:pPr>
        <w:pBdr>
          <w:left w:val="single" w:color="1BAF7A" w:sz="18"/>
        </w:pBdr>
        <w:shd w:fill="F2F1EC" w:val="clear"/>
        <w:spacing w:after="160" w:before="100"/>
        <w:ind w:left="360"/>
      </w:pPr>
      <w:r>
        <w:rPr>
          <w:rFonts w:ascii="Consolas" w:cs="Consolas" w:eastAsia="Consolas" w:hAnsi="Consolas"/>
          <w:sz w:val="19"/>
          <w:szCs w:val="19"/>
        </w:rPr>
        <w:t xml:space="preserve">where python</w:t>
      </w:r>
    </w:p>
    <w:p>
      <w:pPr>
        <w:spacing w:after="160" w:line="280"/>
      </w:pPr>
      <w:r>
        <w:t xml:space="preserve">Should point to something like C:\Users\&lt;you&gt;\AppData\Local\Programs\Python\Python312\python.exe — not anything containing WindowsApps. If WindowsApps still shows first, restart the terminal/computer, or manually reorder PATH so the real install comes first.</w:t>
      </w:r>
    </w:p>
    <w:p>
      <w:pPr>
        <w:pStyle w:val="Heading3"/>
        <w:spacing w:after="80" w:before="200"/>
      </w:pPr>
      <w:r>
        <w:t xml:space="preserve">Then retry venv creation</w:t>
      </w:r>
    </w:p>
    <w:p>
      <w:pPr>
        <w:pBdr>
          <w:left w:val="single" w:color="1BAF7A" w:sz="18"/>
        </w:pBdr>
        <w:shd w:fill="F2F1EC" w:val="clear"/>
        <w:spacing w:after="160" w:before="100"/>
        <w:ind w:left="360"/>
      </w:pPr>
      <w:r>
        <w:rPr>
          <w:rFonts w:ascii="Consolas" w:cs="Consolas" w:eastAsia="Consolas" w:hAnsi="Consolas"/>
          <w:sz w:val="19"/>
          <w:szCs w:val="19"/>
        </w:rPr>
        <w:t xml:space="preserve">cd mmm-project</w:t>
      </w:r>
      <w:r>
        <w:rPr>
          <w:rFonts w:ascii="Consolas" w:cs="Consolas" w:eastAsia="Consolas" w:hAnsi="Consolas"/>
          <w:sz w:val="19"/>
          <w:szCs w:val="19"/>
        </w:rPr>
        <w:br/>
        <w:t xml:space="preserve">python -m venv mmm_env</w:t>
      </w:r>
      <w:r>
        <w:rPr>
          <w:rFonts w:ascii="Consolas" w:cs="Consolas" w:eastAsia="Consolas" w:hAnsi="Consolas"/>
          <w:sz w:val="19"/>
          <w:szCs w:val="19"/>
        </w:rPr>
        <w:br/>
        <w:t xml:space="preserve">mmm_env\Scripts\Activate.ps1</w:t>
      </w:r>
      <w:r>
        <w:rPr>
          <w:rFonts w:ascii="Consolas" w:cs="Consolas" w:eastAsia="Consolas" w:hAnsi="Consolas"/>
          <w:sz w:val="19"/>
          <w:szCs w:val="19"/>
        </w:rPr>
        <w:br/>
        <w:t xml:space="preserve">python -m pip install --upgrade pip</w:t>
      </w:r>
      <w:r>
        <w:rPr>
          <w:rFonts w:ascii="Consolas" w:cs="Consolas" w:eastAsia="Consolas" w:hAnsi="Consolas"/>
          <w:sz w:val="19"/>
          <w:szCs w:val="19"/>
        </w:rPr>
        <w:br/>
        <w:t xml:space="preserve">pip install pymc pymc-marketing jupyter arviz matplotlib pandas</w:t>
      </w:r>
    </w:p>
    <w:p>
      <w:pPr>
        <w:pStyle w:val="Heading3"/>
        <w:spacing w:after="80" w:before="200"/>
      </w:pPr>
      <w:r>
        <w:t xml:space="preserve">Workaround if reinstalling isn't immediately possible</w:t>
      </w:r>
    </w:p>
    <w:p>
      <w:pPr>
        <w:pBdr>
          <w:left w:val="single" w:color="1BAF7A" w:sz="18"/>
        </w:pBdr>
        <w:shd w:fill="F2F1EC" w:val="clear"/>
        <w:spacing w:after="160" w:before="100"/>
        <w:ind w:left="360"/>
      </w:pPr>
      <w:r>
        <w:rPr>
          <w:rFonts w:ascii="Consolas" w:cs="Consolas" w:eastAsia="Consolas" w:hAnsi="Consolas"/>
          <w:sz w:val="19"/>
          <w:szCs w:val="19"/>
        </w:rPr>
        <w:t xml:space="preserve">python -m venv mmm_env --without-pip</w:t>
      </w:r>
      <w:r>
        <w:rPr>
          <w:rFonts w:ascii="Consolas" w:cs="Consolas" w:eastAsia="Consolas" w:hAnsi="Consolas"/>
          <w:sz w:val="19"/>
          <w:szCs w:val="19"/>
        </w:rPr>
        <w:br/>
        <w:t xml:space="preserve">mmm_env\Scripts\Activate.ps1</w:t>
      </w:r>
      <w:r>
        <w:rPr>
          <w:rFonts w:ascii="Consolas" w:cs="Consolas" w:eastAsia="Consolas" w:hAnsi="Consolas"/>
          <w:sz w:val="19"/>
          <w:szCs w:val="19"/>
        </w:rPr>
        <w:br/>
        <w:t xml:space="preserve">python -m ensurepip --upgrade</w:t>
      </w:r>
    </w:p>
    <w:p>
      <w:pPr>
        <w:spacing w:after="160" w:line="280"/>
      </w:pPr>
      <w:r>
        <w:t xml:space="preserve">This is a patch, not a real fix — installing real Python from python.org remains the more reliable long-term move, especially for weeks of ongoing MMM work.</w:t>
      </w:r>
    </w:p>
    <w:p>
      <w:pPr>
        <w:pStyle w:val="Heading1"/>
        <w:pageBreakBefore/>
        <w:spacing w:after="100" w:before="480"/>
      </w:pPr>
      <w:r>
        <w:t xml:space="preserve">6. What Carries Over From Robyn to PyMC — and Where to Learn Results/Metrics/Interpretation</w:t>
      </w:r>
    </w:p>
    <w:p>
      <w:pPr>
        <w:spacing w:after="140"/>
      </w:pPr>
      <w:r>
        <w:rPr>
          <w:b/>
          <w:bCs/>
          <w:color w:val="1BAF7A"/>
          <w:sz w:val="18"/>
          <w:szCs w:val="18"/>
        </w:rPr>
        <w:t xml:space="preserve">MMM STAGE:  </w:t>
      </w:r>
      <w:r>
        <w:rPr>
          <w:b/>
          <w:bCs/>
          <w:color w:val="1BAF7A"/>
          <w:sz w:val="18"/>
          <w:szCs w:val="18"/>
        </w:rPr>
        <w:t xml:space="preserve">Bridge between the two frameworks — spans Model Fitting through Evaluation/Decomposition</w:t>
      </w:r>
    </w:p>
    <w:p>
      <w:pPr>
        <w:pBdr>
          <w:left w:val="single" w:color="C97A22" w:sz="24"/>
        </w:pBdr>
        <w:shd w:fill="FBF3E7" w:val="clear"/>
        <w:spacing w:after="200" w:before="100"/>
        <w:ind w:left="172"/>
      </w:pPr>
      <w:r>
        <w:rPr>
          <w:b/>
          <w:bCs/>
          <w:i/>
          <w:iCs/>
        </w:rPr>
        <w:t xml:space="preserve">Your doubt:  </w:t>
      </w:r>
      <w:r>
        <w:rPr>
          <w:i/>
          <w:iCs/>
        </w:rPr>
        <w:t xml:space="preserve">Having gone through Robyn's full documentation, felt confused about what maps to PyMC and asked for one source covering Bayesian usage, results, evaluation metrics, and interpretation together.</w:t>
      </w:r>
    </w:p>
    <w:p>
      <w:pPr>
        <w:pStyle w:val="Heading3"/>
        <w:spacing w:after="80" w:before="200"/>
      </w:pPr>
      <w:r>
        <w:t xml:space="preserve">Direct concept mapping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BAF7A" w:val="clear"/>
          </w:tcPr>
          <w:p>
            <w:r>
              <w:rPr>
                <w:b/>
                <w:bCs/>
                <w:color w:val="FFFFFF"/>
                <w:sz w:val="19"/>
                <w:szCs w:val="19"/>
              </w:rPr>
              <w:t xml:space="preserve">Robyn concept</w:t>
            </w:r>
          </w:p>
        </w:tc>
        <w:tc>
          <w:tcPr>
            <w:tcW w:type="dxa" w:w="6300"/>
            <w:shd w:fill="1BAF7A" w:val="clear"/>
          </w:tcPr>
          <w:p>
            <w:r>
              <w:rPr>
                <w:b/>
                <w:bCs/>
                <w:color w:val="FFFFFF"/>
                <w:sz w:val="19"/>
                <w:szCs w:val="19"/>
              </w:rPr>
              <w:t xml:space="preserve">PyMC-Marketing equivalent</w:t>
            </w:r>
          </w:p>
        </w:tc>
      </w:tr>
      <w:tr>
        <w:tc>
          <w:tcPr>
            <w:tcW w:type="dxa" w:w="3200"/>
          </w:tcPr>
          <w:p>
            <w:r>
              <w:rPr>
                <w:sz w:val="19"/>
                <w:szCs w:val="19"/>
              </w:rPr>
              <w:t xml:space="preserve">theta (Geometric adstock)</w:t>
            </w:r>
          </w:p>
        </w:tc>
        <w:tc>
          <w:tcPr>
            <w:tcW w:type="dxa" w:w="6300"/>
          </w:tcPr>
          <w:p>
            <w:r>
              <w:rPr>
                <w:sz w:val="19"/>
                <w:szCs w:val="19"/>
              </w:rPr>
              <w:t xml:space="preserve">GeometricAdstock class — parameter is now a distribution (e.g. alpha), not a single fitted number</w:t>
            </w:r>
          </w:p>
        </w:tc>
      </w:tr>
      <w:tr>
        <w:tc>
          <w:tcPr>
            <w:tcW w:type="dxa" w:w="3200"/>
          </w:tcPr>
          <w:p>
            <w:r>
              <w:rPr>
                <w:sz w:val="19"/>
                <w:szCs w:val="19"/>
              </w:rPr>
              <w:t xml:space="preserve">alpha, gamma (Hill saturation)</w:t>
            </w:r>
          </w:p>
        </w:tc>
        <w:tc>
          <w:tcPr>
            <w:tcW w:type="dxa" w:w="6300"/>
          </w:tcPr>
          <w:p>
            <w:r>
              <w:rPr>
                <w:sz w:val="19"/>
                <w:szCs w:val="19"/>
              </w:rPr>
              <w:t xml:space="preserve">LogisticSaturation class, parameters named beta/lam depending on version — same diminishing-returns curve, different variable names</w:t>
            </w:r>
          </w:p>
        </w:tc>
      </w:tr>
      <w:tr>
        <w:tc>
          <w:tcPr>
            <w:tcW w:type="dxa" w:w="3200"/>
          </w:tcPr>
          <w:p>
            <w:r>
              <w:rPr>
                <w:sz w:val="19"/>
                <w:szCs w:val="19"/>
              </w:rPr>
              <w:t xml:space="preserve">Nevergrad hyperparameter search</w:t>
            </w:r>
          </w:p>
        </w:tc>
        <w:tc>
          <w:tcPr>
            <w:tcW w:type="dxa" w:w="6300"/>
          </w:tcPr>
          <w:p>
            <w:r>
              <w:rPr>
                <w:sz w:val="19"/>
                <w:szCs w:val="19"/>
              </w:rPr>
              <w:t xml:space="preserve">MCMC sampling (NUTS) — instead of searching for the one best theta/alpha/gamma, samples thousands of plausible values for each, weighted by fit</w:t>
            </w:r>
          </w:p>
        </w:tc>
      </w:tr>
      <w:tr>
        <w:tc>
          <w:tcPr>
            <w:tcW w:type="dxa" w:w="3200"/>
          </w:tcPr>
          <w:p>
            <w:r>
              <w:rPr>
                <w:sz w:val="19"/>
                <w:szCs w:val="19"/>
              </w:rPr>
              <w:t xml:space="preserve">NRMSE, DECOMP.RSSD (single numbers)</w:t>
            </w:r>
          </w:p>
        </w:tc>
        <w:tc>
          <w:tcPr>
            <w:tcW w:type="dxa" w:w="6300"/>
          </w:tcPr>
          <w:p>
            <w:r>
              <w:rPr>
                <w:sz w:val="19"/>
                <w:szCs w:val="19"/>
              </w:rPr>
              <w:t xml:space="preserve">Same metrics still exist, computed as distributions across posterior samples — a spread of NRMSE values, not one</w:t>
            </w:r>
          </w:p>
        </w:tc>
      </w:tr>
      <w:tr>
        <w:tc>
          <w:tcPr>
            <w:tcW w:type="dxa" w:w="3200"/>
          </w:tcPr>
          <w:p>
            <w:r>
              <w:rPr>
                <w:sz w:val="19"/>
                <w:szCs w:val="19"/>
              </w:rPr>
              <w:t xml:space="preserve">Calibration MAPE (from lift tests)</w:t>
            </w:r>
          </w:p>
        </w:tc>
        <w:tc>
          <w:tcPr>
            <w:tcW w:type="dxa" w:w="6300"/>
          </w:tcPr>
          <w:p>
            <w:r>
              <w:rPr>
                <w:sz w:val="19"/>
                <w:szCs w:val="19"/>
              </w:rPr>
              <w:t xml:space="preserve">Real lift test results become actual priors on channel coefficients, not a third optimization objective</w:t>
            </w:r>
          </w:p>
        </w:tc>
      </w:tr>
      <w:tr>
        <w:tc>
          <w:tcPr>
            <w:tcW w:type="dxa" w:w="3200"/>
          </w:tcPr>
          <w:p>
            <w:r>
              <w:rPr>
                <w:sz w:val="19"/>
                <w:szCs w:val="19"/>
              </w:rPr>
              <w:t xml:space="preserve">ROI / contribution decomposition (point estimates)</w:t>
            </w:r>
          </w:p>
        </w:tc>
        <w:tc>
          <w:tcPr>
            <w:tcW w:type="dxa" w:w="6300"/>
          </w:tcPr>
          <w:p>
            <w:r>
              <w:rPr>
                <w:sz w:val="19"/>
                <w:szCs w:val="19"/>
              </w:rPr>
              <w:t xml:space="preserve">Same outputs, but each comes with a credible interval (uncertainty range) instead of a single number</w:t>
            </w:r>
          </w:p>
        </w:tc>
      </w:tr>
    </w:tbl>
    <w:p>
      <w:pPr>
        <w:spacing w:after="200"/>
      </w:pPr>
    </w:p>
    <w:p>
      <w:pPr>
        <w:pStyle w:val="Heading3"/>
        <w:spacing w:after="80" w:before="200"/>
      </w:pPr>
      <w:r>
        <w:t xml:space="preserve">The one source that directly answers results/metrics/interpretation</w:t>
      </w:r>
    </w:p>
    <w:p>
      <w:pPr>
        <w:spacing w:after="160" w:line="280"/>
      </w:pPr>
      <w:r>
        <w:t xml:space="preserve">PyMC-Marketing's own "Model Evaluation" notebook (pymc-marketing.io/en/stable/notebooks/mmm/mmm_evaluation.html) — the official doc page built specifically to answer "what results do I get and how do I read them." Covers:</w:t>
      </w:r>
    </w:p>
    <w:p>
      <w:pPr>
        <w:pStyle w:val="ListParagraph"/>
        <w:numPr>
          <w:ilvl w:val="0"/>
          <w:numId w:val="2"/>
        </w:numPr>
        <w:spacing w:after="100"/>
      </w:pPr>
      <w:r>
        <w:t xml:space="preserve">mmm.plot.prior_vs_posterior() — plots the prior belief for a parameter against what the data actually updated it to. The single most important new concept vs. Robyn: visually seeing how much the data changed your mind on each parameter.</w:t>
      </w:r>
    </w:p>
    <w:p>
      <w:pPr>
        <w:pStyle w:val="ListParagraph"/>
        <w:numPr>
          <w:ilvl w:val="0"/>
          <w:numId w:val="2"/>
        </w:numPr>
        <w:spacing w:after="100"/>
      </w:pPr>
      <w:r>
        <w:t xml:space="preserve">mmm.sample_posterior_predictive() — generates a full distribution of predicted sales, plotted with 50% and 94% HDI bands (highest density interval, the Bayesian version of a confidence interval) around the mean prediction.</w:t>
      </w:r>
    </w:p>
    <w:p>
      <w:pPr>
        <w:pStyle w:val="ListParagraph"/>
        <w:numPr>
          <w:ilvl w:val="0"/>
          <w:numId w:val="2"/>
        </w:numPr>
        <w:spacing w:after="100"/>
      </w:pPr>
      <w:r>
        <w:t xml:space="preserve">Channel contributions and ROAS returned as full posterior distributions, summarized with a mean and credible interval, not a point estimate.</w:t>
      </w:r>
    </w:p>
    <w:p>
      <w:pPr>
        <w:pStyle w:val="ListParagraph"/>
        <w:numPr>
          <w:ilvl w:val="0"/>
          <w:numId w:val="2"/>
        </w:numPr>
        <w:spacing w:after="100"/>
      </w:pPr>
      <w:r>
        <w:t xml:space="preserve">calculate_metric_distributions() computes NRMSE and NMAE as a distribution across posterior samples, since every posterior draw implies a slightly different predicted series.</w:t>
      </w:r>
    </w:p>
    <w:p>
      <w:pPr>
        <w:pStyle w:val="ListParagraph"/>
        <w:numPr>
          <w:ilvl w:val="0"/>
          <w:numId w:val="2"/>
        </w:numPr>
        <w:spacing w:after="100"/>
      </w:pPr>
      <w:r>
        <w:t xml:space="preserve">Convergence diagnostics from ArviZ (installed alongside PyMC): R-hat (should be ~1.0) and no reported divergences — the equivalent of "did my model even converge," a step Robyn's Ridge-based search doesn't need since it isn't sampling.</w:t>
      </w:r>
    </w:p>
    <w:p>
      <w:pPr>
        <w:pStyle w:val="Heading3"/>
        <w:spacing w:after="80" w:before="200"/>
      </w:pPr>
      <w:r>
        <w:t xml:space="preserve">How to interpret the outputs</w:t>
      </w:r>
    </w:p>
    <w:p>
      <w:pPr>
        <w:pStyle w:val="ListParagraph"/>
        <w:numPr>
          <w:ilvl w:val="0"/>
          <w:numId w:val="2"/>
        </w:numPr>
        <w:spacing w:after="100"/>
      </w:pPr>
      <w:r>
        <w:t xml:space="preserve">Prior vs. posterior plot with a narrow gap = the data didn't have much to say about this parameter, the prior is still doing most of the work (common for a channel with limited spend variation, like print_spend).</w:t>
      </w:r>
    </w:p>
    <w:p>
      <w:pPr>
        <w:pStyle w:val="ListParagraph"/>
        <w:numPr>
          <w:ilvl w:val="0"/>
          <w:numId w:val="2"/>
        </w:numPr>
        <w:spacing w:after="100"/>
      </w:pPr>
      <w:r>
        <w:t xml:space="preserve">Prior vs. posterior plot with a big shift = the data strongly informed this parameter, overriding the initial guess.</w:t>
      </w:r>
    </w:p>
    <w:p>
      <w:pPr>
        <w:pStyle w:val="ListParagraph"/>
        <w:numPr>
          <w:ilvl w:val="0"/>
          <w:numId w:val="2"/>
        </w:numPr>
        <w:spacing w:after="100"/>
      </w:pPr>
      <w:r>
        <w:t xml:space="preserve">A wide HDI band on a metric or contribution = genuine uncertainty — don't over-trust the mean number if the band around it is wide. (Example given: the manual pipeline's print_spend ROI of 4.58 — in PyMC-Marketing this same estimate would come with a credible interval, and if that interval were something absurd like [0.5, 12], it would immediately flag the estimate as unreliable, instead of presenting a clean, precise-looking single number.)</w:t>
      </w:r>
    </w:p>
    <w:p>
      <w:pPr>
        <w:pStyle w:val="Heading3"/>
        <w:spacing w:after="80" w:before="200"/>
      </w:pPr>
      <w:r>
        <w:t xml:space="preserve">Companion source for the narrative before diving into code</w:t>
      </w:r>
    </w:p>
    <w:p>
      <w:pPr>
        <w:spacing w:after="160" w:line="280"/>
      </w:pPr>
      <w:r>
        <w:t xml:space="preserve">"How Modern MMM Works: Adstock, Saturation &amp; Bayesian..." — a PyMC Labs blog post (the company itself, not a third party) narrating the full workflow (contributions, ROAS, forecasts, what-if scenarios) in prose. Pairs well as a "read this first" before the code-heavy evaluation notebook.</w:t>
      </w:r>
    </w:p>
    <w:p>
      <w:pPr>
        <w:pStyle w:val="Heading3"/>
        <w:spacing w:after="80" w:before="200"/>
      </w:pPr>
      <w:r>
        <w:t xml:space="preserve">Suggested approach</w:t>
      </w:r>
    </w:p>
    <w:p>
      <w:pPr>
        <w:spacing w:after="160" w:line="280"/>
      </w:pPr>
      <w:r>
        <w:t xml:space="preserve">Read the PyMC Labs blog post once, top to bottom, for the narrative (20 min). Then open the Model Evaluation notebook and run every cell, reading each output before moving to the next — don't just skim. Once the example runs end to end and each chart can be explained in your own words, swap in the Altima dataset; the concepts transfer directly since the API and outputs are identical regardless of dataset.</w:t>
      </w:r>
    </w:p>
    <w:p>
      <w:pPr>
        <w:pStyle w:val="Heading1"/>
        <w:pageBreakBefore/>
        <w:spacing w:after="100" w:before="480"/>
      </w:pPr>
      <w:r>
        <w:t xml:space="preserve">7. Walking Through a Medium Blog's Bayesian MMM Code, Stage by Stage</w:t>
      </w:r>
    </w:p>
    <w:p>
      <w:pPr>
        <w:spacing w:after="140"/>
      </w:pPr>
      <w:r>
        <w:rPr>
          <w:b/>
          <w:bCs/>
          <w:color w:val="1BAF7A"/>
          <w:sz w:val="18"/>
          <w:szCs w:val="18"/>
        </w:rPr>
        <w:t xml:space="preserve">MMM STAGE:  </w:t>
      </w:r>
      <w:r>
        <w:rPr>
          <w:b/>
          <w:bCs/>
          <w:color w:val="1BAF7A"/>
          <w:sz w:val="18"/>
          <w:szCs w:val="18"/>
        </w:rPr>
        <w:t xml:space="preserve">Model Fitting (priors/likelihood) -&gt; Adstock/Saturation transforms -&gt; Decomposition/ROI -&gt; Budget Optimization</w:t>
      </w:r>
    </w:p>
    <w:p>
      <w:pPr>
        <w:pBdr>
          <w:left w:val="single" w:color="C97A22" w:sz="24"/>
        </w:pBdr>
        <w:shd w:fill="FBF3E7" w:val="clear"/>
        <w:spacing w:after="200" w:before="100"/>
        <w:ind w:left="172"/>
      </w:pPr>
      <w:r>
        <w:rPr>
          <w:b/>
          <w:bCs/>
          <w:i/>
          <w:iCs/>
        </w:rPr>
        <w:t xml:space="preserve">Your doubt:  </w:t>
      </w:r>
      <w:r>
        <w:rPr>
          <w:i/>
          <w:iCs/>
        </w:rPr>
        <w:t xml:space="preserve">Asked for a stage-by-stage brief of the code in a specific Medium article ("Bayesian MMM Made Simple") before returning to the main PyMC-Marketing documentation.</w:t>
      </w:r>
    </w:p>
    <w:p>
      <w:pPr>
        <w:pStyle w:val="Heading3"/>
        <w:spacing w:after="80" w:before="200"/>
      </w:pPr>
      <w:r>
        <w:t xml:space="preserve">Stage 1: Plain Bayesian linear regression, no adstock (toy 6-week dataset)</w:t>
      </w:r>
    </w:p>
    <w:p>
      <w:pPr>
        <w:spacing w:after="160" w:line="280"/>
      </w:pPr>
      <w:r>
        <w:t xml:space="preserve">The "prove PyMC syntax works" step — deliberately skips adstock/saturation entirely.</w:t>
      </w:r>
    </w:p>
    <w:p>
      <w:pPr>
        <w:pStyle w:val="ListParagraph"/>
        <w:numPr>
          <w:ilvl w:val="0"/>
          <w:numId w:val="2"/>
        </w:numPr>
        <w:spacing w:after="100"/>
      </w:pPr>
      <w:r>
        <w:t xml:space="preserve">Data: a tiny 6-row hardcoded dataframe (sales, tv spend, digital spend) — not meant to be realistic, just enough to run.</w:t>
      </w:r>
    </w:p>
    <w:p>
      <w:pPr>
        <w:pStyle w:val="ListParagraph"/>
        <w:numPr>
          <w:ilvl w:val="0"/>
          <w:numId w:val="2"/>
        </w:numPr>
        <w:spacing w:after="100"/>
      </w:pPr>
      <w:r>
        <w:t xml:space="preserve">Priors: beta_tv = pm.Normal("beta_tv", mu=0.2, sigma=0.1) — the prior mean (0.2) is a genuine guess about TV's likely effectiveness, sigma (0.1) expresses confidence in that guess.</w:t>
      </w:r>
    </w:p>
    <w:p>
      <w:pPr>
        <w:pStyle w:val="ListParagraph"/>
        <w:numPr>
          <w:ilvl w:val="0"/>
          <w:numId w:val="2"/>
        </w:numPr>
        <w:spacing w:after="100"/>
      </w:pPr>
      <w:r>
        <w:t xml:space="preserve">Likelihood: y_obs = pm.Normal("sales", mu=mu, sigma=sigma, observed=df["sales"]) — where actual data enters the model, telling PyMC "sales are noisy observations centered on this linear combination."</w:t>
      </w:r>
    </w:p>
    <w:p>
      <w:pPr>
        <w:pStyle w:val="ListParagraph"/>
        <w:numPr>
          <w:ilvl w:val="0"/>
          <w:numId w:val="2"/>
        </w:numPr>
        <w:spacing w:after="100"/>
      </w:pPr>
      <w:r>
        <w:t xml:space="preserve">Sampling: pm.sample(draws=200, tune=100, target_accept=0.9) — tune is the burn-in/warmup period (NUTS calibrating its own step size, discarded from final results), draws is how many post-warmup samples are kept, target_accept trades sampling speed for fewer divergences.</w:t>
      </w:r>
    </w:p>
    <w:p>
      <w:pPr>
        <w:pStyle w:val="ListParagraph"/>
        <w:numPr>
          <w:ilvl w:val="0"/>
          <w:numId w:val="2"/>
        </w:numPr>
        <w:spacing w:after="100"/>
      </w:pPr>
      <w:r>
        <w:t xml:space="preserve">Output: az.plot_posterior(..., hdi_prob=0.9) — a plotted distribution per parameter with a 90% HDI marked (e.g. 90% chance TV's true effect lies between 0.093 and 0.43). The direct Bayesian analog of a confidence interval, but interpreted more intuitively as a real probability statement about the parameter.</w:t>
      </w:r>
    </w:p>
    <w:p>
      <w:pPr>
        <w:pStyle w:val="Heading3"/>
        <w:spacing w:after="80" w:before="200"/>
      </w:pPr>
      <w:r>
        <w:t xml:space="preserve">Stage 2: Adding adstock (theta only, no saturation yet)</w:t>
      </w:r>
    </w:p>
    <w:p>
      <w:pPr>
        <w:pStyle w:val="ListParagraph"/>
        <w:numPr>
          <w:ilvl w:val="0"/>
          <w:numId w:val="2"/>
        </w:numPr>
        <w:spacing w:after="100"/>
      </w:pPr>
      <w:r>
        <w:t xml:space="preserve">geometric_adstock() (NumPy version): a nested double-loop computing the same carryover decay math from Robyn — result[t] += x[t-i] * theta**i. Used only for illustration/simulation, not inside the actual model.</w:t>
      </w:r>
    </w:p>
    <w:p>
      <w:pPr>
        <w:pStyle w:val="ListParagraph"/>
        <w:numPr>
          <w:ilvl w:val="0"/>
          <w:numId w:val="2"/>
        </w:numPr>
        <w:spacing w:after="100"/>
      </w:pPr>
      <w:r>
        <w:t xml:space="preserve">adstock_aesara() (PyTensor version): the one that actually matters — PyMC models must be built from PyTensor operations (at.set_subtensor, at.sum, etc.) instead of plain NumPy, because PyMC needs every operation to be differentiable so NUTS can compute gradients through it.</w:t>
      </w:r>
    </w:p>
    <w:p>
      <w:pPr>
        <w:pStyle w:val="ListParagraph"/>
        <w:numPr>
          <w:ilvl w:val="0"/>
          <w:numId w:val="2"/>
        </w:numPr>
        <w:spacing w:after="100"/>
      </w:pPr>
      <w:r>
        <w:t xml:space="preserve">New prior: theta_tv = pm.Beta("theta_tv", alpha=2, beta=2) — Beta chosen because it's naturally bounded between 0 and 1, matching the valid range for a decay rate exactly — prior choice reflecting a real mathematical constraint, not just convenience.</w:t>
      </w:r>
    </w:p>
    <w:p>
      <w:pPr>
        <w:pStyle w:val="ListParagraph"/>
        <w:numPr>
          <w:ilvl w:val="0"/>
          <w:numId w:val="2"/>
        </w:numPr>
        <w:spacing w:after="100"/>
      </w:pPr>
      <w:r>
        <w:t xml:space="preserve">Interpretation given: theta_tv posterior of 0.34-0.99 -&gt; "TV retains ~67% of impact week over week," directly paralleling the half-life concept from Robyn.</w:t>
      </w:r>
    </w:p>
    <w:p>
      <w:pPr>
        <w:pStyle w:val="Heading3"/>
        <w:spacing w:after="80" w:before="200"/>
      </w:pPr>
      <w:r>
        <w:t xml:space="preserve">Stage 3: Adding saturation on top of adstock</w:t>
      </w:r>
    </w:p>
    <w:p>
      <w:pPr>
        <w:pStyle w:val="ListParagraph"/>
        <w:numPr>
          <w:ilvl w:val="0"/>
          <w:numId w:val="2"/>
        </w:numPr>
        <w:spacing w:after="100"/>
      </w:pPr>
      <w:r>
        <w:t xml:space="preserve">adstock_saturation(): chains adstock then applies at.log1p(alpha * result), i.e. log(1 + alpha x adstocked_spend). This is a DIFFERENT saturation function than Robyn's Hill curve — simple log-saturation, not x^alpha/(x^alpha+gamma^alpha). A legitimate, simpler alternative (log transforms are one of the three approaches Robyn's own docs mention), but only has one shape parameter (alpha acting more like a scale multiplier here, not Robyn's shape/inflexion pair) — worth not confusing the two despite the shared variable name.</w:t>
      </w:r>
    </w:p>
    <w:p>
      <w:pPr>
        <w:pStyle w:val="ListParagraph"/>
        <w:numPr>
          <w:ilvl w:val="0"/>
          <w:numId w:val="2"/>
        </w:numPr>
        <w:spacing w:after="100"/>
      </w:pPr>
      <w:r>
        <w:t xml:space="preserve">New prior: alpha_tv = pm.HalfNormal("alpha_tv", sigma=1) — HalfNormal because saturation scale should be positive.</w:t>
      </w:r>
    </w:p>
    <w:p>
      <w:pPr>
        <w:pStyle w:val="ListParagraph"/>
        <w:numPr>
          <w:ilvl w:val="0"/>
          <w:numId w:val="2"/>
        </w:numPr>
        <w:spacing w:after="100"/>
      </w:pPr>
      <w:r>
        <w:t xml:space="preserve">The uncertainty flagged in the article's own interpretation — alpha_tv's 90% HDI spanning 0.00056 to 1.7, an enormously wide range — is a good honest example of Bayesian uncertainty being appropriately wide when data is scarce (only 6 data points here), rather than a frequentist model falsely presenting one confident-looking number.</w:t>
      </w:r>
    </w:p>
    <w:p>
      <w:pPr>
        <w:pStyle w:val="Heading3"/>
        <w:spacing w:after="80" w:before="200"/>
      </w:pPr>
      <w:r>
        <w:t xml:space="preserve">Stage 4: Full realistic simulation + ROI + response curves</w:t>
      </w:r>
    </w:p>
    <w:p>
      <w:pPr>
        <w:spacing w:after="160" w:line="280"/>
      </w:pPr>
      <w:r>
        <w:t xml:space="preserve">A more serious version — 20 simulated weeks with actual "true" parameters baked in (true_params dict), similar in spirit to the synthetic data generator already built for the Altima pipeline.</w:t>
      </w:r>
    </w:p>
    <w:p>
      <w:pPr>
        <w:pStyle w:val="ListParagraph"/>
        <w:numPr>
          <w:ilvl w:val="0"/>
          <w:numId w:val="2"/>
        </w:numPr>
        <w:spacing w:after="100"/>
      </w:pPr>
      <w:r>
        <w:t xml:space="preserve">ROI calculation: roi_tv = (beta_tv_mean * tv_adstock.sum()) / df["tv"].sum() — notice this only uses posterior MEANS for theta/alpha/beta, collapsing the full uncertainty down to point estimates before computing ROI. A meaningful simplification: it throws away exactly the uncertainty-quantification benefit that's Bayesian MMM's whole selling point. A more rigorous version (like PyMC-Marketing's actual evaluation notebook) would compute ROI for every posterior sample and report a distribution/HDI, not just one number from the mean.</w:t>
      </w:r>
    </w:p>
    <w:p>
      <w:pPr>
        <w:pStyle w:val="ListParagraph"/>
        <w:numPr>
          <w:ilvl w:val="0"/>
          <w:numId w:val="2"/>
        </w:numPr>
        <w:spacing w:after="100"/>
      </w:pPr>
      <w:r>
        <w:t xml:space="preserve">Response curves: same idea as Robyn's response curve chart — smooth spend range run through the fitted saturation function, scaled by beta, to visualize each channel's diminishing-returns shape.</w:t>
      </w:r>
    </w:p>
    <w:p>
      <w:pPr>
        <w:pStyle w:val="Heading3"/>
        <w:spacing w:after="80" w:before="200"/>
      </w:pPr>
      <w:r>
        <w:t xml:space="preserve">Stage 5: Budget optimization with scipy.optimize.minimize</w:t>
      </w:r>
    </w:p>
    <w:p>
      <w:pPr>
        <w:pStyle w:val="ListParagraph"/>
        <w:numPr>
          <w:ilvl w:val="0"/>
          <w:numId w:val="2"/>
        </w:numPr>
        <w:spacing w:after="100"/>
      </w:pPr>
      <w:r>
        <w:t xml:space="preserve">incremental_sales_response(): wraps the adstock+saturation math into a function of raw spend, usable outside PyMC.</w:t>
      </w:r>
    </w:p>
    <w:p>
      <w:pPr>
        <w:pStyle w:val="ListParagraph"/>
        <w:numPr>
          <w:ilvl w:val="0"/>
          <w:numId w:val="2"/>
        </w:numPr>
        <w:spacing w:after="100"/>
      </w:pPr>
      <w:r>
        <w:t xml:space="preserve">optimize_budget(): uses scipy.optimize.minimize (SLSQP algorithm) to find the TV/Digital split maximizing predicted sales under a total budget constraint — conceptually identical to Robyn's robyn_allocator(), just handwritten instead of using a packaged function.</w:t>
      </w:r>
    </w:p>
    <w:p>
      <w:pPr>
        <w:pStyle w:val="ListParagraph"/>
        <w:numPr>
          <w:ilvl w:val="0"/>
          <w:numId w:val="2"/>
        </w:numPr>
        <w:spacing w:after="100"/>
      </w:pPr>
      <w:r>
        <w:t xml:space="preserve">Again, posterior means only: theta_tv = trace.posterior["theta_tv"].mean().values — the optimizer works entirely off point estimates, so the recommended split carries no uncertainty with it (no "TV should get 28-35%, 90% credible interval" — just a single number).</w:t>
      </w:r>
    </w:p>
    <w:p>
      <w:pPr>
        <w:pStyle w:val="ListParagraph"/>
        <w:numPr>
          <w:ilvl w:val="0"/>
          <w:numId w:val="2"/>
        </w:numPr>
        <w:spacing w:after="100"/>
      </w:pPr>
      <w:r>
        <w:t xml:space="preserve">Extended version (3 channels + constraints): adds min_spend/max_spend/min_roi constraints per channel via scipy's constraint dict syntax, plus three visualization functions (budget-vs-sales, budget-vs-sales-and-ROI dual axis, stacked channel-mix-by-budget) — genuinely useful practical additions showing how optimization results shift as total budget changes, which Robyn's allocator doesn't show as directly.</w:t>
      </w:r>
    </w:p>
    <w:p>
      <w:pPr>
        <w:pStyle w:val="Heading3"/>
        <w:spacing w:after="80" w:before="200"/>
      </w:pPr>
      <w:r>
        <w:t xml:space="preserve">Two honest things worth carrying into your own capstone</w:t>
      </w:r>
    </w:p>
    <w:p>
      <w:pPr>
        <w:pStyle w:val="ListParagraph"/>
        <w:numPr>
          <w:ilvl w:val="0"/>
          <w:numId w:val="2"/>
        </w:numPr>
        <w:spacing w:after="100"/>
      </w:pPr>
      <w:r>
        <w:t xml:space="preserve">The saturation function differs from Robyn's Hill function — this article uses log-saturation, single parameter. For a direct apples-to-apples comparison against the manual Robyn-style pipeline, implement the actual Hill function in PyTensor instead — or better, just use PyMC-Marketing's LogisticSaturation class which already does this correctly.</w:t>
      </w:r>
    </w:p>
    <w:p>
      <w:pPr>
        <w:pStyle w:val="ListParagraph"/>
        <w:numPr>
          <w:ilvl w:val="0"/>
          <w:numId w:val="2"/>
        </w:numPr>
        <w:spacing w:after="100"/>
      </w:pPr>
      <w:r>
        <w:t xml:space="preserve">ROI/optimization here uses only posterior means, discarding uncertainty at exactly the step where Bayesian MMM's main advantage would show up. If replicating this pattern, explicitly note awareness of this simplification and ideally extend it to report ROI as a distribution (sample the calculation across all posterior draws, not just the mean) — a concrete, specific improvement over this blog's code that would stand out in an interview.</w:t>
      </w:r>
    </w:p>
    <w:p>
      <w:pPr>
        <w:pStyle w:val="Heading1"/>
        <w:pageBreakBefore/>
        <w:spacing w:after="100" w:before="480"/>
      </w:pPr>
      <w:r>
        <w:t xml:space="preserve">8. Prior, Likelihood, Posterior — and Why Normal Distributions</w:t>
      </w:r>
    </w:p>
    <w:p>
      <w:pPr>
        <w:spacing w:after="140"/>
      </w:pPr>
      <w:r>
        <w:rPr>
          <w:b/>
          <w:bCs/>
          <w:color w:val="1BAF7A"/>
          <w:sz w:val="18"/>
          <w:szCs w:val="18"/>
        </w:rPr>
        <w:t xml:space="preserve">MMM STAGE:  </w:t>
      </w:r>
      <w:r>
        <w:rPr>
          <w:b/>
          <w:bCs/>
          <w:color w:val="1BAF7A"/>
          <w:sz w:val="18"/>
          <w:szCs w:val="18"/>
        </w:rPr>
        <w:t xml:space="preserve">Model Fitting — Bayesian model specification</w:t>
      </w:r>
    </w:p>
    <w:p>
      <w:pPr>
        <w:pBdr>
          <w:left w:val="single" w:color="C97A22" w:sz="24"/>
        </w:pBdr>
        <w:shd w:fill="FBF3E7" w:val="clear"/>
        <w:spacing w:after="200" w:before="100"/>
        <w:ind w:left="172"/>
      </w:pPr>
      <w:r>
        <w:rPr>
          <w:b/>
          <w:bCs/>
          <w:i/>
          <w:iCs/>
        </w:rPr>
        <w:t xml:space="preserve">Your doubt:  </w:t>
      </w:r>
      <w:r>
        <w:rPr>
          <w:i/>
          <w:iCs/>
        </w:rPr>
        <w:t xml:space="preserve">Confused about what exactly counts as prior/likelihood/posterior in the Stage 1 code, and why everything seemed to be Normal.</w:t>
      </w:r>
    </w:p>
    <w:p>
      <w:pPr>
        <w:pStyle w:val="Heading3"/>
        <w:spacing w:after="80" w:before="200"/>
      </w:pPr>
      <w:r>
        <w:t xml:space="preserve">The three pieces, mapped to MMM concretely</w:t>
      </w:r>
    </w:p>
    <w:p>
      <w:pPr>
        <w:spacing w:after="160" w:line="280"/>
      </w:pPr>
      <w:r>
        <w:rPr>
          <w:b/>
          <w:bCs/>
        </w:rPr>
        <w:t xml:space="preserve">Prior = </w:t>
      </w:r>
      <w:r>
        <w:t xml:space="preserve">your belief about a parameter before the model sees any data. In MMM: belief about things like "how effective is TV spend," "how much does sales vary randomly," "how long does an ad's effect linger." Every unknown parameter needs one.</w:t>
      </w:r>
    </w:p>
    <w:p>
      <w:pPr>
        <w:pBdr>
          <w:left w:val="single" w:color="1BAF7A" w:sz="18"/>
        </w:pBdr>
        <w:shd w:fill="F2F1EC" w:val="clear"/>
        <w:spacing w:after="160" w:before="100"/>
        <w:ind w:left="360"/>
      </w:pPr>
      <w:r>
        <w:rPr>
          <w:rFonts w:ascii="Consolas" w:cs="Consolas" w:eastAsia="Consolas" w:hAnsi="Consolas"/>
          <w:sz w:val="19"/>
          <w:szCs w:val="19"/>
        </w:rPr>
        <w:t xml:space="preserve">alpha = pm.Normal("intercept", mu=0, sigma=10)              # prior on baseline sales</w:t>
      </w:r>
      <w:r>
        <w:rPr>
          <w:rFonts w:ascii="Consolas" w:cs="Consolas" w:eastAsia="Consolas" w:hAnsi="Consolas"/>
          <w:sz w:val="19"/>
          <w:szCs w:val="19"/>
        </w:rPr>
        <w:br/>
        <w:t xml:space="preserve">beta_tv = pm.Normal("beta_tv", mu=0.2, sigma=0.1)            # prior on TV's effectiveness</w:t>
      </w:r>
      <w:r>
        <w:rPr>
          <w:rFonts w:ascii="Consolas" w:cs="Consolas" w:eastAsia="Consolas" w:hAnsi="Consolas"/>
          <w:sz w:val="19"/>
          <w:szCs w:val="19"/>
        </w:rPr>
        <w:br/>
        <w:t xml:space="preserve">beta_digital = pm.Normal("beta_digital", mu=0.3, sigma=0.1)  # prior on Digital's effectiveness</w:t>
      </w:r>
      <w:r>
        <w:rPr>
          <w:rFonts w:ascii="Consolas" w:cs="Consolas" w:eastAsia="Consolas" w:hAnsi="Consolas"/>
          <w:sz w:val="19"/>
          <w:szCs w:val="19"/>
        </w:rPr>
        <w:br/>
        <w:t xml:space="preserve">sigma = pm.HalfNormal("sigma", sigma=10)                     # prior on residual noise</w:t>
      </w:r>
    </w:p>
    <w:p>
      <w:pPr>
        <w:spacing w:after="160" w:line="280"/>
      </w:pPr>
      <w:r>
        <w:rPr>
          <w:b/>
          <w:bCs/>
        </w:rPr>
        <w:t xml:space="preserve">Likelihood = </w:t>
      </w:r>
      <w:r>
        <w:t xml:space="preserve">the assumption about how the observed data was generated, given the parameters. Answers: "if TV really has effect beta_tv and Digital really has effect beta_digital, what distribution would actual weekly sales numbers be scattered around?"</w:t>
      </w:r>
    </w:p>
    <w:p>
      <w:pPr>
        <w:pBdr>
          <w:left w:val="single" w:color="1BAF7A" w:sz="18"/>
        </w:pBdr>
        <w:shd w:fill="F2F1EC" w:val="clear"/>
        <w:spacing w:after="160" w:before="100"/>
        <w:ind w:left="360"/>
      </w:pPr>
      <w:r>
        <w:rPr>
          <w:rFonts w:ascii="Consolas" w:cs="Consolas" w:eastAsia="Consolas" w:hAnsi="Consolas"/>
          <w:sz w:val="19"/>
          <w:szCs w:val="19"/>
        </w:rPr>
        <w:t xml:space="preserve">mu = alpha + beta_tv * df["tv"] + beta_digital * df["digital"]   # the model's prediction</w:t>
      </w:r>
      <w:r>
        <w:rPr>
          <w:rFonts w:ascii="Consolas" w:cs="Consolas" w:eastAsia="Consolas" w:hAnsi="Consolas"/>
          <w:sz w:val="19"/>
          <w:szCs w:val="19"/>
        </w:rPr>
        <w:br/>
        <w:t xml:space="preserve">y_obs = pm.Normal("sales", mu=mu, sigma=sigma, observed=df["sales"])  # the likelihood</w:t>
      </w:r>
    </w:p>
    <w:p>
      <w:pPr>
        <w:spacing w:after="160" w:line="280"/>
      </w:pPr>
      <w:r>
        <w:t xml:space="preserve">This single line does two jobs at once: says "true sales are centered on mu" (the linear combination) "with some random scatter of size sigma" — and because observed=df["sales"] is attached, this is where real data enters the model and starts influencing the parameters.</w:t>
      </w:r>
    </w:p>
    <w:p>
      <w:pPr>
        <w:spacing w:after="160" w:line="280"/>
      </w:pPr>
      <w:r>
        <w:rPr>
          <w:b/>
          <w:bCs/>
        </w:rPr>
        <w:t xml:space="preserve">Posterior = </w:t>
      </w:r>
      <w:r>
        <w:t xml:space="preserve">the updated belief about each parameter after combining the prior with the likelihood via Bayes' theorem, computed by MCMC sampling. Not a new named line of code — it's literally beta_tv's distribution again, but reshaped by having seen the data.</w:t>
      </w:r>
    </w:p>
    <w:p>
      <w:pPr>
        <w:pBdr>
          <w:left w:val="single" w:color="1BAF7A" w:sz="18"/>
        </w:pBdr>
        <w:shd w:fill="F2F1EC" w:val="clear"/>
        <w:spacing w:after="160" w:before="100"/>
        <w:ind w:left="360"/>
      </w:pPr>
      <w:r>
        <w:rPr>
          <w:rFonts w:ascii="Consolas" w:cs="Consolas" w:eastAsia="Consolas" w:hAnsi="Consolas"/>
          <w:sz w:val="19"/>
          <w:szCs w:val="19"/>
        </w:rPr>
        <w:t xml:space="preserve">trace = pm.sample(...)  # produces the posterior</w:t>
      </w:r>
      <w:r>
        <w:rPr>
          <w:rFonts w:ascii="Consolas" w:cs="Consolas" w:eastAsia="Consolas" w:hAnsi="Consolas"/>
          <w:sz w:val="19"/>
          <w:szCs w:val="19"/>
        </w:rPr>
        <w:br/>
        <w:t xml:space="preserve">az.plot_posterior(trace, var_names=["beta_tv", "beta_digital"], hdi_prob=0.9)  # displays it</w:t>
      </w:r>
    </w:p>
    <w:p>
      <w:pPr>
        <w:spacing w:after="160" w:line="280"/>
      </w:pPr>
      <w:r>
        <w:t xml:space="preserve">Concretely: beta_tv starts life as Normal(mu=0.2, sigma=0.1) (the prior guess), and after pm.sample() runs, trace.posterior["beta_tv"] contains thousands of samples representing the updated distribution — informed by what the 6 rows of actual sales data had to say. Same parameter, same name, but the distribution shape has moved from "what I believed beforehand" to "what I believe now that I've seen this data."</w:t>
      </w:r>
    </w:p>
    <w:p>
      <w:pPr>
        <w:pStyle w:val="Heading3"/>
        <w:spacing w:after="80" w:before="200"/>
      </w:pPr>
      <w:r>
        <w:t xml:space="preserve">Why Normal, and is everything actually Normal? (No.)</w:t>
      </w:r>
    </w:p>
    <w:p>
      <w:pPr>
        <w:spacing w:after="160" w:line="280"/>
      </w:pPr>
      <w:r>
        <w:t xml:space="preserve">Important correction: only three things in that model are Normal — intercept, beta_tv, beta_digital. The other two use deliberately different distributions, dictated by what values are mathematically valid for that parameter: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900"/>
      </w:tblGrid>
      <w:tr>
        <w:trPr>
          <w:tblHeader/>
        </w:trPr>
        <w:tc>
          <w:tcPr>
            <w:tcW w:type="dxa" w:w="2600"/>
            <w:shd w:fill="1BAF7A" w:val="clear"/>
          </w:tcPr>
          <w:p>
            <w:r>
              <w:rPr>
                <w:b/>
                <w:bCs/>
                <w:color w:val="FFFFFF"/>
                <w:sz w:val="19"/>
                <w:szCs w:val="19"/>
              </w:rPr>
              <w:t xml:space="preserve">Parameter</w:t>
            </w:r>
          </w:p>
        </w:tc>
        <w:tc>
          <w:tcPr>
            <w:tcW w:type="dxa" w:w="2600"/>
            <w:shd w:fill="1BAF7A" w:val="clear"/>
          </w:tcPr>
          <w:p>
            <w:r>
              <w:rPr>
                <w:b/>
                <w:bCs/>
                <w:color w:val="FFFFFF"/>
                <w:sz w:val="19"/>
                <w:szCs w:val="19"/>
              </w:rPr>
              <w:t xml:space="preserve">Distribution used</w:t>
            </w:r>
          </w:p>
        </w:tc>
        <w:tc>
          <w:tcPr>
            <w:tcW w:type="dxa" w:w="3900"/>
            <w:shd w:fill="1BAF7A" w:val="clear"/>
          </w:tcPr>
          <w:p>
            <w:r>
              <w:rPr>
                <w:b/>
                <w:bCs/>
                <w:color w:val="FFFFFF"/>
                <w:sz w:val="19"/>
                <w:szCs w:val="19"/>
              </w:rPr>
              <w:t xml:space="preserve">Why</w:t>
            </w:r>
          </w:p>
        </w:tc>
      </w:tr>
      <w:tr>
        <w:tc>
          <w:tcPr>
            <w:tcW w:type="dxa" w:w="2600"/>
          </w:tcPr>
          <w:p>
            <w:r>
              <w:rPr>
                <w:sz w:val="19"/>
                <w:szCs w:val="19"/>
              </w:rPr>
              <w:t xml:space="preserve">intercept</w:t>
            </w:r>
          </w:p>
        </w:tc>
        <w:tc>
          <w:tcPr>
            <w:tcW w:type="dxa" w:w="2600"/>
          </w:tcPr>
          <w:p>
            <w:r>
              <w:rPr>
                <w:sz w:val="19"/>
                <w:szCs w:val="19"/>
              </w:rPr>
              <w:t xml:space="preserve">Normal</w:t>
            </w:r>
          </w:p>
        </w:tc>
        <w:tc>
          <w:tcPr>
            <w:tcW w:type="dxa" w:w="3900"/>
          </w:tcPr>
          <w:p>
            <w:r>
              <w:rPr>
                <w:sz w:val="19"/>
                <w:szCs w:val="19"/>
              </w:rPr>
              <w:t xml:space="preserve">Baseline sales could plausibly be any real number</w:t>
            </w:r>
          </w:p>
        </w:tc>
      </w:tr>
      <w:tr>
        <w:tc>
          <w:tcPr>
            <w:tcW w:type="dxa" w:w="2600"/>
          </w:tcPr>
          <w:p>
            <w:r>
              <w:rPr>
                <w:sz w:val="19"/>
                <w:szCs w:val="19"/>
              </w:rPr>
              <w:t xml:space="preserve">beta_tv, beta_digital</w:t>
            </w:r>
          </w:p>
        </w:tc>
        <w:tc>
          <w:tcPr>
            <w:tcW w:type="dxa" w:w="2600"/>
          </w:tcPr>
          <w:p>
            <w:r>
              <w:rPr>
                <w:sz w:val="19"/>
                <w:szCs w:val="19"/>
              </w:rPr>
              <w:t xml:space="preserve">Normal</w:t>
            </w:r>
          </w:p>
        </w:tc>
        <w:tc>
          <w:tcPr>
            <w:tcW w:type="dxa" w:w="3900"/>
          </w:tcPr>
          <w:p>
            <w:r>
              <w:rPr>
                <w:sz w:val="19"/>
                <w:szCs w:val="19"/>
              </w:rPr>
              <w:t xml:space="preserve">A channel's effect could even be negative in theory (bad creative, ad fatigue) — Normal doesn't rule that out, just makes it unlikely if the mean is set positive</w:t>
            </w:r>
          </w:p>
        </w:tc>
      </w:tr>
      <w:tr>
        <w:tc>
          <w:tcPr>
            <w:tcW w:type="dxa" w:w="2600"/>
          </w:tcPr>
          <w:p>
            <w:r>
              <w:rPr>
                <w:sz w:val="19"/>
                <w:szCs w:val="19"/>
              </w:rPr>
              <w:t xml:space="preserve">sigma</w:t>
            </w:r>
          </w:p>
        </w:tc>
        <w:tc>
          <w:tcPr>
            <w:tcW w:type="dxa" w:w="2600"/>
          </w:tcPr>
          <w:p>
            <w:r>
              <w:rPr>
                <w:sz w:val="19"/>
                <w:szCs w:val="19"/>
              </w:rPr>
              <w:t xml:space="preserve">HalfNormal, not Normal</w:t>
            </w:r>
          </w:p>
        </w:tc>
        <w:tc>
          <w:tcPr>
            <w:tcW w:type="dxa" w:w="3900"/>
          </w:tcPr>
          <w:p>
            <w:r>
              <w:rPr>
                <w:sz w:val="19"/>
                <w:szCs w:val="19"/>
              </w:rPr>
              <w:t xml:space="preserve">Standard deviation/noise MUST be positive — a negative sigma is mathematically meaningless. HalfNormal is a Normal folded over to only allow positive values</w:t>
            </w:r>
          </w:p>
        </w:tc>
      </w:tr>
      <w:tr>
        <w:tc>
          <w:tcPr>
            <w:tcW w:type="dxa" w:w="2600"/>
          </w:tcPr>
          <w:p>
            <w:r>
              <w:rPr>
                <w:sz w:val="19"/>
                <w:szCs w:val="19"/>
              </w:rPr>
              <w:t xml:space="preserve">theta_tv (adstock decay)</w:t>
            </w:r>
          </w:p>
        </w:tc>
        <w:tc>
          <w:tcPr>
            <w:tcW w:type="dxa" w:w="2600"/>
          </w:tcPr>
          <w:p>
            <w:r>
              <w:rPr>
                <w:sz w:val="19"/>
                <w:szCs w:val="19"/>
              </w:rPr>
              <w:t xml:space="preserve">Beta, not Normal</w:t>
            </w:r>
          </w:p>
        </w:tc>
        <w:tc>
          <w:tcPr>
            <w:tcW w:type="dxa" w:w="3900"/>
          </w:tcPr>
          <w:p>
            <w:r>
              <w:rPr>
                <w:sz w:val="19"/>
                <w:szCs w:val="19"/>
              </w:rPr>
              <w:t xml:space="preserve">Decay rate must be strictly between 0 and 1 — Beta is naturally bounded to exactly that range</w:t>
            </w:r>
          </w:p>
        </w:tc>
      </w:tr>
      <w:tr>
        <w:tc>
          <w:tcPr>
            <w:tcW w:type="dxa" w:w="2600"/>
          </w:tcPr>
          <w:p>
            <w:r>
              <w:rPr>
                <w:sz w:val="19"/>
                <w:szCs w:val="19"/>
              </w:rPr>
              <w:t xml:space="preserve">alpha_tv (saturation scale)</w:t>
            </w:r>
          </w:p>
        </w:tc>
        <w:tc>
          <w:tcPr>
            <w:tcW w:type="dxa" w:w="2600"/>
          </w:tcPr>
          <w:p>
            <w:r>
              <w:rPr>
                <w:sz w:val="19"/>
                <w:szCs w:val="19"/>
              </w:rPr>
              <w:t xml:space="preserve">HalfNormal, not Normal</w:t>
            </w:r>
          </w:p>
        </w:tc>
        <w:tc>
          <w:tcPr>
            <w:tcW w:type="dxa" w:w="3900"/>
          </w:tcPr>
          <w:p>
            <w:r>
              <w:rPr>
                <w:sz w:val="19"/>
                <w:szCs w:val="19"/>
              </w:rPr>
              <w:t xml:space="preserve">Saturation scale must be positive, same reasoning as sigma</w:t>
            </w:r>
          </w:p>
        </w:tc>
      </w:tr>
    </w:tbl>
    <w:p>
      <w:pPr>
        <w:spacing w:after="200"/>
      </w:pPr>
    </w:p>
    <w:p>
      <w:pPr>
        <w:spacing w:after="160" w:line="280"/>
      </w:pPr>
      <w:r>
        <w:t xml:space="preserve">The real rule being followed: pick the prior distribution's shape to match the parameter's valid range, then use its mean/sigma (or alpha/beta for Beta) to encode confidence and expected location. Normal is the right choice specifically for coefficients that can range across all real numbers (like a channel's effect size), because it's symmetric, unbounded, and the standard default for "I have a rough guess, with some spread of uncertainty around it" — not because Bayesian modeling requires everything to be Normal.</w:t>
      </w:r>
    </w:p>
    <w:p>
      <w:pPr>
        <w:pStyle w:val="Heading3"/>
        <w:spacing w:after="80" w:before="200"/>
      </w:pPr>
      <w:r>
        <w:t xml:space="preserve">Why Normal is also the default choice for the likelihood specifically</w:t>
      </w:r>
    </w:p>
    <w:p>
      <w:pPr>
        <w:spacing w:after="160" w:line="280"/>
      </w:pPr>
      <w:r>
        <w:t xml:space="preserve">A separate question from "why Normal priors." The likelihood being pm.Normal("sales", mu=mu, sigma=sigma, observed=...) says the same thing plain OLS assumes: residuals (gap between predicted and actual sales) are roughly symmetric random noise, scattered around the true value in a bell-curve shape. A very standard default for continuous data like sales, revenue, or units. If real data violated this badly (extremely right-skewed, occasional huge outlier spikes), a different likelihood could be swapped in (pm.StudentT for heavier tails, pm.Gamma for strictly-positive skewed data) — but Normal is a completely standard, defensible starting point, mirroring the same assumption already baked into every OLS regression already run.</w:t>
      </w:r>
    </w:p>
    <w:p>
      <w:pPr>
        <w:pStyle w:val="Heading1"/>
        <w:pageBreakBefore/>
        <w:spacing w:after="100" w:before="480"/>
      </w:pPr>
      <w:r>
        <w:t xml:space="preserve">9. Intuition Behind mu/sigma Values and "Shape Matches Valid Range"</w:t>
      </w:r>
    </w:p>
    <w:p>
      <w:pPr>
        <w:spacing w:after="140"/>
      </w:pPr>
      <w:r>
        <w:rPr>
          <w:b/>
          <w:bCs/>
          <w:color w:val="1BAF7A"/>
          <w:sz w:val="18"/>
          <w:szCs w:val="18"/>
        </w:rPr>
        <w:t xml:space="preserve">MMM STAGE:  </w:t>
      </w:r>
      <w:r>
        <w:rPr>
          <w:b/>
          <w:bCs/>
          <w:color w:val="1BAF7A"/>
          <w:sz w:val="18"/>
          <w:szCs w:val="18"/>
        </w:rPr>
        <w:t xml:space="preserve">Model Fitting — prior elicitation</w:t>
      </w:r>
    </w:p>
    <w:p>
      <w:pPr>
        <w:pBdr>
          <w:left w:val="single" w:color="C97A22" w:sz="24"/>
        </w:pBdr>
        <w:shd w:fill="FBF3E7" w:val="clear"/>
        <w:spacing w:after="200" w:before="100"/>
        <w:ind w:left="172"/>
      </w:pPr>
      <w:r>
        <w:rPr>
          <w:b/>
          <w:bCs/>
          <w:i/>
          <w:iCs/>
        </w:rPr>
        <w:t xml:space="preserve">Your doubt:  </w:t>
      </w:r>
      <w:r>
        <w:rPr>
          <w:i/>
          <w:iCs/>
        </w:rPr>
        <w:t xml:space="preserve">Didn't understand the "pick the prior distribution's shape to match the parameter's valid range" idea, or the intuition behind the actual mu/sigma numbers chosen.</w:t>
      </w:r>
    </w:p>
    <w:p>
      <w:pPr>
        <w:spacing w:after="160" w:line="280"/>
      </w:pPr>
      <w:r>
        <w:t xml:space="preserve">A visual comparison of the three distribution shapes makes the "shape matches range" idea concrete:</w:t>
      </w:r>
    </w:p>
    <w:p>
      <w:pPr>
        <w:spacing w:after="160" w:before="160"/>
        <w:jc w:val="center"/>
      </w:pPr>
      <w:r>
        <w:drawing>
          <wp:inline distT="0" distB="0" distL="0" distR="0">
            <wp:extent cx="5524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600200"/>
                    </a:xfrm>
                    <a:prstGeom prst="rect">
                      <a:avLst/>
                    </a:prstGeom>
                  </pic:spPr>
                </pic:pic>
              </a:graphicData>
            </a:graphic>
          </wp:inline>
        </w:drawing>
      </w:r>
    </w:p>
    <w:p>
      <w:pPr>
        <w:spacing w:after="160" w:line="280"/>
      </w:pPr>
      <w:r>
        <w:t xml:space="preserve">Each curve's shape physically cannot produce values outside the parameter's valid range. Normal spreads both sides of zero (fine for an effect size, which could theoretically be negative). HalfNormal is zero at x&lt;0 and only rises for positive x (perfect for noise/scale, which can never be negative). Beta is squeezed to live only between 0 and 1 (perfect for a decay rate, a percentage). The distribution family isn't chosen arbitrarily — the one whose natural shape already respects the constraint is picked, so the model can't even propose an impossible value like "theta = 1.4" or "sigma = -3" during sampling.</w:t>
      </w:r>
    </w:p>
    <w:p>
      <w:pPr>
        <w:pStyle w:val="Heading3"/>
        <w:spacing w:after="80" w:before="200"/>
      </w:pPr>
      <w:r>
        <w:t xml:space="preserve">Where the actual mu/sigma numbers come from</w:t>
      </w:r>
    </w:p>
    <w:p>
      <w:pPr>
        <w:spacing w:after="160" w:line="280"/>
      </w:pPr>
      <w:r>
        <w:rPr>
          <w:b/>
          <w:bCs/>
        </w:rPr>
        <w:t xml:space="preserve">Step 1 — mu (the center): </w:t>
      </w:r>
      <w:r>
        <w:t xml:space="preserve">"what's my single best guess before seeing data?" Pull this from: past campaign results if available ("last year TV ROI was roughly 1.2x"); industry benchmarks (marketing case studies, agency reports — "TV MMM studies typically show ROI in the 0.8-2x range"); or simple domain reasoning ("TV is a brand channel, usually not wildly negative, would be surprised if above 3x"). In the blog's toy example, mu=0.2 just means "I expect roughly 0.2 units of sales lift per unit of TV spend" — the number is illustrative since it's a fake 6-row dataset, but the reasoning process for real data is exactly this.</w:t>
      </w:r>
    </w:p>
    <w:p>
      <w:pPr>
        <w:spacing w:after="160" w:line="280"/>
      </w:pPr>
      <w:r>
        <w:rPr>
          <w:b/>
          <w:bCs/>
        </w:rPr>
        <w:t xml:space="preserve">Step 2 — sigma (the spread): </w:t>
      </w:r>
      <w:r>
        <w:t xml:space="preserve">"how confident am I in that guess?" Sigma controls how wide the range of "plausible" values is around mu. A useful trick — for a Normal distribution, about 95% of the probability sits within mu ± 2×sigma.</w:t>
      </w:r>
    </w:p>
    <w:p>
      <w:pPr>
        <w:pStyle w:val="ListParagraph"/>
        <w:numPr>
          <w:ilvl w:val="0"/>
          <w:numId w:val="2"/>
        </w:numPr>
        <w:spacing w:after="100"/>
      </w:pPr>
      <w:r>
        <w:t xml:space="preserve">mu=0.2, sigma=0.1 -&gt; saying "95% confident the true effect is somewhere between 0.0 and 0.4" (0.2 - 2x0.1 to 0.2 + 2x0.1). A fairly tight, confident prior.</w:t>
      </w:r>
    </w:p>
    <w:p>
      <w:pPr>
        <w:pStyle w:val="ListParagraph"/>
        <w:numPr>
          <w:ilvl w:val="0"/>
          <w:numId w:val="2"/>
        </w:numPr>
        <w:spacing w:after="100"/>
      </w:pPr>
      <w:r>
        <w:t xml:space="preserve">If much less sure — say no past campaign data for this specific brand, just a rough industry benchmark — widen it: mu=0.2, sigma=0.5 -&gt; 95% range roughly -0.8 to 1.2, a much looser, more uncertain prior, letting the data do more of the work.</w:t>
      </w:r>
    </w:p>
    <w:p>
      <w:pPr>
        <w:spacing w:after="160" w:line="280"/>
      </w:pPr>
      <w:r>
        <w:t xml:space="preserve">Practical rule of thumb: work backwards from a range, not forwards from a number. Instead of trying to intuit sigma directly, ask "what range of values would I not be surprised by?" — e.g. "I'd believe anything between 0.5x and 2x ROI for this channel" — then solve for mu and sigma that produce roughly that range (mu = midpoint, sigma ≈ range width / 4).</w:t>
      </w:r>
    </w:p>
    <w:p>
      <w:pPr>
        <w:pStyle w:val="Heading3"/>
        <w:spacing w:after="80" w:before="200"/>
      </w:pPr>
      <w:r>
        <w:t xml:space="preserve">Why this matters for the Altima/PyMC-Marketing work specifically</w:t>
      </w:r>
    </w:p>
    <w:p>
      <w:pPr>
        <w:spacing w:after="160" w:line="280"/>
      </w:pPr>
      <w:r>
        <w:t xml:space="preserve">These numbers usually aren't hand-picked from scratch — PyMC-Marketing ships sensible default priors for adstock/saturation parameters (loosely centered, deliberately not too tight) precisely so mu/sigma don't need guessing for every parameter cold (see Topic 10). Where personal judgment genuinely matters is the calibration scenario from the Robyn deep-dive: if a real number exists from somewhere (a past campaign, an agency benchmark, a lift test), that's when tightening a specific channel's prior around that known value makes sense — mirroring exactly what Robyn's calibration feature does with lift-test data, just expressed as an actual pm.Normal(mu=known_value, sigma=small_number) instead of an extra optimization objective.</w:t>
      </w:r>
    </w:p>
    <w:p>
      <w:pPr>
        <w:pStyle w:val="Heading1"/>
        <w:pageBreakBefore/>
        <w:spacing w:after="100" w:before="480"/>
      </w:pPr>
      <w:r>
        <w:t xml:space="preserve">10. How PyMC-Marketing Chooses Default Priors — For Someone With No Domain Benchmarks Yet</w:t>
      </w:r>
    </w:p>
    <w:p>
      <w:pPr>
        <w:spacing w:after="140"/>
      </w:pPr>
      <w:r>
        <w:rPr>
          <w:b/>
          <w:bCs/>
          <w:color w:val="1BAF7A"/>
          <w:sz w:val="18"/>
          <w:szCs w:val="18"/>
        </w:rPr>
        <w:t xml:space="preserve">MMM STAGE:  </w:t>
      </w:r>
      <w:r>
        <w:rPr>
          <w:b/>
          <w:bCs/>
          <w:color w:val="1BAF7A"/>
          <w:sz w:val="18"/>
          <w:szCs w:val="18"/>
        </w:rPr>
        <w:t xml:space="preserve">Model Fitting — default prior configuration</w:t>
      </w:r>
    </w:p>
    <w:p>
      <w:pPr>
        <w:pBdr>
          <w:left w:val="single" w:color="C97A22" w:sz="24"/>
        </w:pBdr>
        <w:shd w:fill="FBF3E7" w:val="clear"/>
        <w:spacing w:after="200" w:before="100"/>
        <w:ind w:left="172"/>
      </w:pPr>
      <w:r>
        <w:rPr>
          <w:b/>
          <w:bCs/>
          <w:i/>
          <w:iCs/>
        </w:rPr>
        <w:t xml:space="preserve">Your doubt:  </w:t>
      </w:r>
      <w:r>
        <w:rPr>
          <w:i/>
          <w:iCs/>
        </w:rPr>
        <w:t xml:space="preserve">As a newcomer with no idea what plausible lift looks like for any channel, asked how PyMC-Marketing actually handles default priors.</w:t>
      </w:r>
    </w:p>
    <w:p>
      <w:pPr>
        <w:pStyle w:val="Heading3"/>
        <w:spacing w:after="80" w:before="200"/>
      </w:pPr>
      <w:r>
        <w:t xml:space="preserve">The actual default priors PyMC-Marketing ships with (verified from source)</w:t>
      </w:r>
    </w:p>
    <w:p>
      <w:pPr>
        <w:pBdr>
          <w:left w:val="single" w:color="1BAF7A" w:sz="18"/>
        </w:pBdr>
        <w:shd w:fill="F2F1EC" w:val="clear"/>
        <w:spacing w:after="160" w:before="100"/>
        <w:ind w:left="360"/>
      </w:pPr>
      <w:r>
        <w:rPr>
          <w:rFonts w:ascii="Consolas" w:cs="Consolas" w:eastAsia="Consolas" w:hAnsi="Consolas"/>
          <w:sz w:val="19"/>
          <w:szCs w:val="19"/>
        </w:rPr>
        <w:t xml:space="preserve">GeometricAdstock.default_priors</w:t>
      </w:r>
      <w:r>
        <w:rPr>
          <w:rFonts w:ascii="Consolas" w:cs="Consolas" w:eastAsia="Consolas" w:hAnsi="Consolas"/>
          <w:sz w:val="19"/>
          <w:szCs w:val="19"/>
        </w:rPr>
        <w:br/>
        <w:t xml:space="preserve"># {'alpha': Prior("Beta", alpha=1, beta=3)}</w:t>
      </w:r>
      <w:r>
        <w:rPr>
          <w:rFonts w:ascii="Consolas" w:cs="Consolas" w:eastAsia="Consolas" w:hAnsi="Consolas"/>
          <w:sz w:val="19"/>
          <w:szCs w:val="19"/>
        </w:rPr>
        <w:br/>
        <w:t xml:space="preserve"/>
      </w:r>
      <w:r>
        <w:rPr>
          <w:rFonts w:ascii="Consolas" w:cs="Consolas" w:eastAsia="Consolas" w:hAnsi="Consolas"/>
          <w:sz w:val="19"/>
          <w:szCs w:val="19"/>
        </w:rPr>
        <w:br/>
        <w:t xml:space="preserve">LogisticSaturation.default_priors</w:t>
      </w:r>
      <w:r>
        <w:rPr>
          <w:rFonts w:ascii="Consolas" w:cs="Consolas" w:eastAsia="Consolas" w:hAnsi="Consolas"/>
          <w:sz w:val="19"/>
          <w:szCs w:val="19"/>
        </w:rPr>
        <w:br/>
        <w:t xml:space="preserve"># {'lam': Prior("Gamma", alpha=3, beta=1), 'beta': Prior("HalfNormal", sigma=2)}</w:t>
      </w:r>
    </w:p>
    <w:p>
      <w:pPr>
        <w:pStyle w:val="ListParagraph"/>
        <w:numPr>
          <w:ilvl w:val="0"/>
          <w:numId w:val="2"/>
        </w:numPr>
        <w:spacing w:after="100"/>
      </w:pPr>
      <w:r>
        <w:t xml:space="preserve">Adstock alpha — Beta(1, 3): mean ≈ 0.25, right-skewed toward lower decay rates. Encodes a mild, general-purpose assumption: "most media effects fade out reasonably quickly, but leave room for a channel to prove otherwise if the data says so." A deliberately gentle nudge, not a confident claim.</w:t>
      </w:r>
    </w:p>
    <w:p>
      <w:pPr>
        <w:pStyle w:val="ListParagraph"/>
        <w:numPr>
          <w:ilvl w:val="0"/>
          <w:numId w:val="2"/>
        </w:numPr>
        <w:spacing w:after="100"/>
      </w:pPr>
      <w:r>
        <w:t xml:space="preserve">Saturation lam (inflexion point) — Gamma(3, 1): mean = 3, fairly spread out. Says "almost no strong opinion about where this channel saturates — let the data decide," while keeping the value positive (a mathematical requirement, not a guess).</w:t>
      </w:r>
    </w:p>
    <w:p>
      <w:pPr>
        <w:pStyle w:val="ListParagraph"/>
        <w:numPr>
          <w:ilvl w:val="0"/>
          <w:numId w:val="2"/>
        </w:numPr>
        <w:spacing w:after="100"/>
      </w:pPr>
      <w:r>
        <w:t xml:space="preserve">Saturation beta (max channel contribution) — HalfNormal(sigma=2): wide, positive-only, weakly committal. The closest equivalent to beta_tv from the earlier blog code — notice it doesn't try to guess a specific ROI number at all, just "some positive contribution, could be small or fairly large."</w:t>
      </w:r>
    </w:p>
    <w:p>
      <w:pPr>
        <w:pStyle w:val="Heading3"/>
        <w:spacing w:after="80" w:before="200"/>
      </w:pPr>
      <w:r>
        <w:t xml:space="preserve">The real answer: "weakly informative priors"</w:t>
      </w:r>
    </w:p>
    <w:p>
      <w:pPr>
        <w:spacing w:after="160" w:line="280"/>
      </w:pPr>
      <w:r>
        <w:t xml:space="preserve">These defaults are deliberately built to be wide and only mildly opinionated — just enough to keep the sampler numerically stable and rule out impossible values (negative decay rates, negative contributions), without pretending to know the true business answer. PyMC-Marketing's defaults exist so that someone with zero domain knowledge can still get a reasonable first model running, letting the actual sales/spend data do the heavy lifting of narrowing the posterior down to something specific.</w:t>
      </w:r>
    </w:p>
    <w:p>
      <w:pPr>
        <w:pStyle w:val="Heading3"/>
        <w:spacing w:after="80" w:before="200"/>
      </w:pPr>
      <w:r>
        <w:t xml:space="preserve">How to check priors, not just trust them blindly — prior predictive checks</w:t>
      </w:r>
    </w:p>
    <w:p>
      <w:pPr>
        <w:pBdr>
          <w:left w:val="single" w:color="1BAF7A" w:sz="18"/>
        </w:pBdr>
        <w:shd w:fill="F2F1EC" w:val="clear"/>
        <w:spacing w:after="160" w:before="100"/>
        <w:ind w:left="360"/>
      </w:pPr>
      <w:r>
        <w:rPr>
          <w:rFonts w:ascii="Consolas" w:cs="Consolas" w:eastAsia="Consolas" w:hAnsi="Consolas"/>
          <w:sz w:val="19"/>
          <w:szCs w:val="19"/>
        </w:rPr>
        <w:t xml:space="preserve">from pymc_marketing.mmm import GeometricAdstock</w:t>
      </w:r>
      <w:r>
        <w:rPr>
          <w:rFonts w:ascii="Consolas" w:cs="Consolas" w:eastAsia="Consolas" w:hAnsi="Consolas"/>
          <w:sz w:val="19"/>
          <w:szCs w:val="19"/>
        </w:rPr>
        <w:br/>
        <w:t xml:space="preserve">import matplotlib.pyplot as plt</w:t>
      </w:r>
      <w:r>
        <w:rPr>
          <w:rFonts w:ascii="Consolas" w:cs="Consolas" w:eastAsia="Consolas" w:hAnsi="Consolas"/>
          <w:sz w:val="19"/>
          <w:szCs w:val="19"/>
        </w:rPr>
        <w:br/>
        <w:t xml:space="preserve"/>
      </w:r>
      <w:r>
        <w:rPr>
          <w:rFonts w:ascii="Consolas" w:cs="Consolas" w:eastAsia="Consolas" w:hAnsi="Consolas"/>
          <w:sz w:val="19"/>
          <w:szCs w:val="19"/>
        </w:rPr>
        <w:br/>
        <w:t xml:space="preserve">adstock = GeometricAdstock(l_max=15)</w:t>
      </w:r>
      <w:r>
        <w:rPr>
          <w:rFonts w:ascii="Consolas" w:cs="Consolas" w:eastAsia="Consolas" w:hAnsi="Consolas"/>
          <w:sz w:val="19"/>
          <w:szCs w:val="19"/>
        </w:rPr>
        <w:br/>
        <w:t xml:space="preserve">prior = adstock.sample_prior()      # samples from the prior only, no data yet</w:t>
      </w:r>
      <w:r>
        <w:rPr>
          <w:rFonts w:ascii="Consolas" w:cs="Consolas" w:eastAsia="Consolas" w:hAnsi="Consolas"/>
          <w:sz w:val="19"/>
          <w:szCs w:val="19"/>
        </w:rPr>
        <w:br/>
        <w:t xml:space="preserve">curve = adstock.sample_curve(prior)</w:t>
      </w:r>
      <w:r>
        <w:rPr>
          <w:rFonts w:ascii="Consolas" w:cs="Consolas" w:eastAsia="Consolas" w:hAnsi="Consolas"/>
          <w:sz w:val="19"/>
          <w:szCs w:val="19"/>
        </w:rPr>
        <w:br/>
        <w:t xml:space="preserve">adstock.plot_curve(curve)</w:t>
      </w:r>
      <w:r>
        <w:rPr>
          <w:rFonts w:ascii="Consolas" w:cs="Consolas" w:eastAsia="Consolas" w:hAnsi="Consolas"/>
          <w:sz w:val="19"/>
          <w:szCs w:val="19"/>
        </w:rPr>
        <w:br/>
        <w:t xml:space="preserve">plt.show()</w:t>
      </w:r>
    </w:p>
    <w:p>
      <w:pPr>
        <w:spacing w:after="160" w:line="280"/>
      </w:pPr>
      <w:r>
        <w:t xml:space="preserve">This plots a range of decay curves implied by the default Beta(1,3) prior — before the model has seen a single row of real data. If the resulting curves look absurd (every sampled curve decays to zero within 1 day, or barely decays at all over 15 weeks), that's a signal the default prior doesn't suit the situation and needs adjusting. If the curves span a sensible-looking range, leave it alone. This is genuinely how experienced practitioners — not just beginners — sanity-check priors: by eye, via simulation, not by "knowing" the right number in advance.</w:t>
      </w:r>
    </w:p>
    <w:p>
      <w:pPr>
        <w:spacing w:after="160" w:line="280"/>
      </w:pPr>
      <w:r>
        <w:t xml:space="preserve">Official source for this exact workflow: PyMC-Marketing's Prior Predictive Modeling notebook (pymc-marketing.io/en/stable/notebooks/general/prior_predictive.html) — walks through this process for the full MMM model, using the Prior class from pymc_extras.prior.</w:t>
      </w:r>
    </w:p>
    <w:p>
      <w:pPr>
        <w:pStyle w:val="Heading3"/>
        <w:spacing w:after="80" w:before="200"/>
      </w:pPr>
      <w:r>
        <w:t xml:space="preserve">Practical takeaway — a fully working first model using only defaults</w:t>
      </w:r>
    </w:p>
    <w:p>
      <w:pPr>
        <w:pBdr>
          <w:left w:val="single" w:color="1BAF7A" w:sz="18"/>
        </w:pBdr>
        <w:shd w:fill="F2F1EC" w:val="clear"/>
        <w:spacing w:after="160" w:before="100"/>
        <w:ind w:left="360"/>
      </w:pPr>
      <w:r>
        <w:rPr>
          <w:rFonts w:ascii="Consolas" w:cs="Consolas" w:eastAsia="Consolas" w:hAnsi="Consolas"/>
          <w:sz w:val="19"/>
          <w:szCs w:val="19"/>
        </w:rPr>
        <w:t xml:space="preserve">mmm = MMM(</w:t>
      </w:r>
      <w:r>
        <w:rPr>
          <w:rFonts w:ascii="Consolas" w:cs="Consolas" w:eastAsia="Consolas" w:hAnsi="Consolas"/>
          <w:sz w:val="19"/>
          <w:szCs w:val="19"/>
        </w:rPr>
        <w:br/>
        <w:t xml:space="preserve">    date_column="date",</w:t>
      </w:r>
      <w:r>
        <w:rPr>
          <w:rFonts w:ascii="Consolas" w:cs="Consolas" w:eastAsia="Consolas" w:hAnsi="Consolas"/>
          <w:sz w:val="19"/>
          <w:szCs w:val="19"/>
        </w:rPr>
        <w:br/>
        <w:t xml:space="preserve">    channel_columns=["tv_spend", "digital_spend", "radio_spend", "print_spend"],</w:t>
      </w:r>
      <w:r>
        <w:rPr>
          <w:rFonts w:ascii="Consolas" w:cs="Consolas" w:eastAsia="Consolas" w:hAnsi="Consolas"/>
          <w:sz w:val="19"/>
          <w:szCs w:val="19"/>
        </w:rPr>
        <w:br/>
        <w:t xml:space="preserve">    control_columns=["price", "promo"],</w:t>
      </w:r>
      <w:r>
        <w:rPr>
          <w:rFonts w:ascii="Consolas" w:cs="Consolas" w:eastAsia="Consolas" w:hAnsi="Consolas"/>
          <w:sz w:val="19"/>
          <w:szCs w:val="19"/>
        </w:rPr>
        <w:br/>
        <w:t xml:space="preserve">    adstock=GeometricAdstock(l_max=8),</w:t>
      </w:r>
      <w:r>
        <w:rPr>
          <w:rFonts w:ascii="Consolas" w:cs="Consolas" w:eastAsia="Consolas" w:hAnsi="Consolas"/>
          <w:sz w:val="19"/>
          <w:szCs w:val="19"/>
        </w:rPr>
        <w:br/>
        <w:t xml:space="preserve">    saturation=LogisticSaturation(),</w:t>
      </w:r>
      <w:r>
        <w:rPr>
          <w:rFonts w:ascii="Consolas" w:cs="Consolas" w:eastAsia="Consolas" w:hAnsi="Consolas"/>
          <w:sz w:val="19"/>
          <w:szCs w:val="19"/>
        </w:rPr>
        <w:br/>
        <w:t xml:space="preserve">)</w:t>
      </w:r>
    </w:p>
    <w:p>
      <w:pPr>
        <w:spacing w:after="160" w:line="280"/>
      </w:pPr>
      <w:r>
        <w:t xml:space="preserve">No model_config, no guessed mu/sigma needed — the Beta(1,3) and Gamma(3,1)/HalfNormal(2) defaults do the job. Overriding a specific channel's prior only becomes worthwhile once an actual number is in hand worth encoding — e.g. after running the manual Robyn-style pipeline first, which gives a rough sense of each channel's ballpark theta/ROI — that's the point where tightening a specific prior becomes reasonable, not before.</w:t>
      </w:r>
    </w:p>
    <w:p>
      <w:pPr>
        <w:pStyle w:val="Heading1"/>
        <w:pageBreakBefore/>
        <w:spacing w:after="100" w:before="480"/>
      </w:pPr>
      <w:r>
        <w:t xml:space="preserve">11. What pm.sample() Is Actually Doing Mechanically</w:t>
      </w:r>
    </w:p>
    <w:p>
      <w:pPr>
        <w:spacing w:after="140"/>
      </w:pPr>
      <w:r>
        <w:rPr>
          <w:b/>
          <w:bCs/>
          <w:color w:val="1BAF7A"/>
          <w:sz w:val="18"/>
          <w:szCs w:val="18"/>
        </w:rPr>
        <w:t xml:space="preserve">MMM STAGE:  </w:t>
      </w:r>
      <w:r>
        <w:rPr>
          <w:b/>
          <w:bCs/>
          <w:color w:val="1BAF7A"/>
          <w:sz w:val="18"/>
          <w:szCs w:val="18"/>
        </w:rPr>
        <w:t xml:space="preserve">Model Fitting — posterior inference (MCMC sampling)</w:t>
      </w:r>
    </w:p>
    <w:p>
      <w:pPr>
        <w:pBdr>
          <w:left w:val="single" w:color="C97A22" w:sz="24"/>
        </w:pBdr>
        <w:shd w:fill="FBF3E7" w:val="clear"/>
        <w:spacing w:after="200" w:before="100"/>
        <w:ind w:left="172"/>
      </w:pPr>
      <w:r>
        <w:rPr>
          <w:b/>
          <w:bCs/>
          <w:i/>
          <w:iCs/>
        </w:rPr>
        <w:t xml:space="preserve">Your doubt:  </w:t>
      </w:r>
      <w:r>
        <w:rPr>
          <w:i/>
          <w:iCs/>
        </w:rPr>
        <w:t xml:space="preserve">Asked what's actually happening inside a specific call: pm.sample(draws=200, tune=100, target_accept=0.9, random_seed=42).</w:t>
      </w:r>
    </w:p>
    <w:p>
      <w:pPr>
        <w:pStyle w:val="Heading3"/>
        <w:spacing w:after="80" w:before="200"/>
      </w:pPr>
      <w:r>
        <w:t xml:space="preserve">Line by line</w:t>
      </w:r>
    </w:p>
    <w:p>
      <w:pPr>
        <w:spacing w:after="160" w:line="280"/>
      </w:pPr>
      <w:r>
        <w:t xml:space="preserve">with model: reopens the model context so pm.sample() knows which priors/likelihood to sample from — everything inside runs against the beta_tv, sigma, etc. already defined.</w:t>
      </w:r>
    </w:p>
    <w:p>
      <w:pPr>
        <w:pStyle w:val="Heading3"/>
        <w:spacing w:after="80" w:before="200"/>
      </w:pPr>
      <w:r>
        <w:t xml:space="preserve">What pm.sample() actually does, mechanically</w:t>
      </w:r>
    </w:p>
    <w:p>
      <w:pPr>
        <w:pStyle w:val="ListParagraph"/>
        <w:numPr>
          <w:ilvl w:val="0"/>
          <w:numId w:val="2"/>
        </w:numPr>
        <w:spacing w:after="100"/>
      </w:pPr>
      <w:r>
        <w:t xml:space="preserve">1. Initialize: each chain starts at a random guess for every parameter — usually drawn from the prior itself, or a small jittered point near it.</w:t>
      </w:r>
    </w:p>
    <w:p>
      <w:pPr>
        <w:pStyle w:val="ListParagraph"/>
        <w:numPr>
          <w:ilvl w:val="0"/>
          <w:numId w:val="2"/>
        </w:numPr>
        <w:spacing w:after="100"/>
      </w:pPr>
      <w:r>
        <w:t xml:space="preserve">2. Tuning phase (tune=100): NUTS doesn't know in advance how big a "step" to take when exploring the posterior — too large and it constantly overshoots and gets rejected; too small and it crawls painfully slowly. During these iterations the sampler actively adjusts its own step size and the "mass matrix" (roughly, how the different parameters relate to each other in scale) to find efficient exploration settings. Every sample generated during tuning is thrown away — purely a calibration phase, not part of the final result.</w:t>
      </w:r>
    </w:p>
    <w:p>
      <w:pPr>
        <w:pStyle w:val="ListParagraph"/>
        <w:numPr>
          <w:ilvl w:val="0"/>
          <w:numId w:val="2"/>
        </w:numPr>
        <w:spacing w:after="100"/>
      </w:pPr>
      <w:r>
        <w:t xml:space="preserve">3. Drawing phase (draws=200): now that NUTS is calibrated, it runs 200 more iterations, and this time every sample is kept. Each one is a full set of plausible values for every parameter in the model — one sample might be beta_tv=0.23, beta_digital=0.31, sigma=1.8, the next beta_tv=0.19, beta_digital=0.34, sigma=2.1, and so on. Over these 200 draws, the collection of samples IS the posterior — not a formula, literally a big table of plausible parameter combinations.</w:t>
      </w:r>
    </w:p>
    <w:p>
      <w:pPr>
        <w:pStyle w:val="ListParagraph"/>
        <w:numPr>
          <w:ilvl w:val="0"/>
          <w:numId w:val="2"/>
        </w:numPr>
        <w:spacing w:after="100"/>
      </w:pPr>
      <w:r>
        <w:t xml:space="preserve">4. This whole tune-then-draw sequence happens once per chain, independently, starting from a different random point each time (PyMC runs 4 chains by default). Running multiple independent chains is the convergence check: if all chains, despite starting from different random points, end up exploring the same region of the posterior, that's strong evidence the sampler found the true posterior rather than getting stuck somewhere. This is exactly what R-hat measures — comparing variance between chains to variance within chains.</w:t>
      </w:r>
    </w:p>
    <w:p>
      <w:pPr>
        <w:pStyle w:val="ListParagraph"/>
        <w:numPr>
          <w:ilvl w:val="0"/>
          <w:numId w:val="2"/>
        </w:numPr>
        <w:spacing w:after="100"/>
      </w:pPr>
      <w:r>
        <w:t xml:space="preserve">5. target_accept=0.9: tunes how conservatively NUTS sizes its steps during tuning. NUTS proposes a move, then probabilistically accepts or rejects it based on the posterior's geometry at that point (the actual "Metropolis" part still buried inside NUTS, even though NUTS is far smarter about where it proposes than plain Metropolis-Hastings). target_accept=0.9 aims for roughly 90% of proposed moves being accepted — a higher target forces smaller, more cautious steps, reducing a failure mode called a divergence, at the cost of being somewhat slower.</w:t>
      </w:r>
    </w:p>
    <w:p>
      <w:pPr>
        <w:pStyle w:val="ListParagraph"/>
        <w:numPr>
          <w:ilvl w:val="0"/>
          <w:numId w:val="2"/>
        </w:numPr>
        <w:spacing w:after="100"/>
      </w:pPr>
      <w:r>
        <w:t xml:space="preserve">6. random_seed=42: makes the random starting points and random proposal-accept decisions reproducible — same seed, same trace, every run.</w:t>
      </w:r>
    </w:p>
    <w:p>
      <w:pPr>
        <w:pStyle w:val="Heading3"/>
        <w:spacing w:after="80" w:before="200"/>
      </w:pPr>
      <w:r>
        <w:t xml:space="preserve">What comes back: trace</w:t>
      </w:r>
    </w:p>
    <w:p>
      <w:pPr>
        <w:spacing w:after="160" w:line="280"/>
      </w:pPr>
      <w:r>
        <w:t xml:space="preserve">trace is not one number — a structured object (technically an ArviZ InferenceData) holding, for every parameter, a full array of shape (chains, draws) — e.g. (2 chains x 200 draws) gives 400 total plausible values for beta_tv alone. This is exactly what feeds az.plot_posterior(trace, ...) — not plotting a formula, literally drawing a histogram of these sampled numbers.</w:t>
      </w:r>
    </w:p>
    <w:p>
      <w:pPr>
        <w:pStyle w:val="Heading3"/>
        <w:spacing w:after="80" w:before="200"/>
      </w:pPr>
      <w:r>
        <w:t xml:space="preserve">The one-sentence mental model</w:t>
      </w:r>
    </w:p>
    <w:p>
      <w:pPr>
        <w:spacing w:after="160" w:line="280"/>
      </w:pPr>
      <w:r>
        <w:t xml:space="preserve">Tuning is the sampler learning how to walk efficiently through the specific posterior's shape; drawing is the sampler actually walking and recording where it goes; the recorded path IS the answer.</w:t>
      </w:r>
    </w:p>
    <w:p>
      <w:pPr>
        <w:pStyle w:val="Heading1"/>
        <w:pageBreakBefore/>
        <w:spacing w:after="100" w:before="480"/>
      </w:pPr>
      <w:r>
        <w:t xml:space="preserve">12. What "Calibration" Means Across All the Contexts It's Been Used In</w:t>
      </w:r>
    </w:p>
    <w:p>
      <w:pPr>
        <w:spacing w:after="140"/>
      </w:pPr>
      <w:r>
        <w:rPr>
          <w:b/>
          <w:bCs/>
          <w:color w:val="1BAF7A"/>
          <w:sz w:val="18"/>
          <w:szCs w:val="18"/>
        </w:rPr>
        <w:t xml:space="preserve">MMM STAGE:  </w:t>
      </w:r>
      <w:r>
        <w:rPr>
          <w:b/>
          <w:bCs/>
          <w:color w:val="1BAF7A"/>
          <w:sz w:val="18"/>
          <w:szCs w:val="18"/>
        </w:rPr>
        <w:t xml:space="preserve">Calibration — sits between Model Fitting and Evaluation</w:t>
      </w:r>
    </w:p>
    <w:p>
      <w:pPr>
        <w:pBdr>
          <w:left w:val="single" w:color="C97A22" w:sz="24"/>
        </w:pBdr>
        <w:shd w:fill="FBF3E7" w:val="clear"/>
        <w:spacing w:after="200" w:before="100"/>
        <w:ind w:left="172"/>
      </w:pPr>
      <w:r>
        <w:rPr>
          <w:b/>
          <w:bCs/>
          <w:i/>
          <w:iCs/>
        </w:rPr>
        <w:t xml:space="preserve">Your doubt:  </w:t>
      </w:r>
      <w:r>
        <w:rPr>
          <w:i/>
          <w:iCs/>
        </w:rPr>
        <w:t xml:space="preserve">Asked directly what "calibration" means in this whole context, since it had come up in different ways across the conversation.</w:t>
      </w:r>
    </w:p>
    <w:p>
      <w:pPr>
        <w:pStyle w:val="Heading3"/>
        <w:spacing w:after="80" w:before="200"/>
      </w:pPr>
      <w:r>
        <w:t xml:space="preserve">1. Robyn's calibration (frequentist, from their docs)</w:t>
      </w:r>
    </w:p>
    <w:p>
      <w:pPr>
        <w:spacing w:after="160" w:line="280"/>
      </w:pPr>
      <w:r>
        <w:t xml:space="preserve">Feeding a real experiment's result (e.g. a Meta Conversion Lift test) into the model as ground truth to check against. Robyn computes the gap (MAPE) between its own estimated ROI for a channel and what the real experiment measured, and uses that gap as a third score Nevergrad tries to minimize — steering the hyperparameter search toward models that happen to also match reality, not just fit the sales curve well statistically.</w:t>
      </w:r>
    </w:p>
    <w:p>
      <w:pPr>
        <w:pStyle w:val="Heading3"/>
        <w:spacing w:after="80" w:before="200"/>
      </w:pPr>
      <w:r>
        <w:t xml:space="preserve">2. Bayesian "calibration" in PyMC / PyMC-Marketing — two sub-meanings</w:t>
      </w:r>
    </w:p>
    <w:p>
      <w:pPr>
        <w:spacing w:after="160" w:line="280"/>
      </w:pPr>
      <w:r>
        <w:rPr>
          <w:b/>
          <w:bCs/>
        </w:rPr>
        <w:t xml:space="preserve">a) Setting an informative prior from real evidence — </w:t>
      </w:r>
      <w:r>
        <w:t xml:space="preserve">the direct Bayesian analog of Robyn's calibration: instead of adding a third optimization objective, the known experiment result is encoded directly as the prior, e.g. pm.Normal(mu=known_lift_estimate, sigma=small_number). The model naturally pulls its posterior toward that known value during MCMC sampling, weighted by how confident (small sigma = tight, confident) it's told to be.</w:t>
      </w:r>
    </w:p>
    <w:p>
      <w:pPr>
        <w:spacing w:after="160" w:line="280"/>
      </w:pPr>
      <w:r>
        <w:t xml:space="preserve">PyMC-Marketing has this built in explicitly: mmm.add_lift_test_measurements() — hand it real lift-test results and it folds them into the likelihood, functionally the same idea as Robyn's calibration MAPE, just implemented as a proper Bayesian update rather than a bolted-on search objective.</w:t>
      </w:r>
    </w:p>
    <w:p>
      <w:pPr>
        <w:spacing w:after="160" w:line="280"/>
      </w:pPr>
      <w:r>
        <w:rPr>
          <w:b/>
          <w:bCs/>
        </w:rPr>
        <w:t xml:space="preserve">b) Model calibration as a diagnostic concept — </w:t>
      </w:r>
      <w:r>
        <w:t xml:space="preserve">a separate, more general statistical meaning: "is my model's uncertainty honest?" A well-calibrated model's 90% credible interval should actually contain the true value about 90% of the time if checked repeatedly. Checked via posterior predictive checks — comparing the model's predicted distribution of outcomes against actual observed data to see if the spread is realistic (not too narrow/overconfident, not too wide/useless). This is the sense in which "calibration" gets used generically in Bayesian statistics, distinct from the Robyn-specific "match a real experiment" usage.</w:t>
      </w:r>
    </w:p>
    <w:p>
      <w:pPr>
        <w:pStyle w:val="Heading3"/>
        <w:spacing w:after="80" w:before="200"/>
      </w:pPr>
      <w:r>
        <w:t xml:space="preserve">The practical distinction to keep straight</w:t>
      </w:r>
    </w:p>
    <w:p>
      <w:pPr>
        <w:pStyle w:val="ListParagraph"/>
        <w:numPr>
          <w:ilvl w:val="0"/>
          <w:numId w:val="2"/>
        </w:numPr>
        <w:spacing w:after="100"/>
      </w:pPr>
      <w:r>
        <w:t xml:space="preserve">Robyn's calibration = one specific technique (real experiment -&gt; third optimization objective)</w:t>
      </w:r>
    </w:p>
    <w:p>
      <w:pPr>
        <w:pStyle w:val="ListParagraph"/>
        <w:numPr>
          <w:ilvl w:val="0"/>
          <w:numId w:val="2"/>
        </w:numPr>
        <w:spacing w:after="100"/>
      </w:pPr>
      <w:r>
        <w:t xml:space="preserve">PyMC-Marketing's add_lift_test_measurements = the direct Bayesian equivalent of that same technique (real experiment -&gt; informative prior/likelihood adjustment)</w:t>
      </w:r>
    </w:p>
    <w:p>
      <w:pPr>
        <w:pStyle w:val="ListParagraph"/>
        <w:numPr>
          <w:ilvl w:val="0"/>
          <w:numId w:val="2"/>
        </w:numPr>
        <w:spacing w:after="100"/>
      </w:pPr>
      <w:r>
        <w:t xml:space="preserve">General "model calibration" = a broader diagnostic question ("is my uncertainty trustworthy?"), unrelated to whether outside experiment data exists at all</w:t>
      </w:r>
    </w:p>
    <w:p>
      <w:pPr>
        <w:pStyle w:val="Heading1"/>
        <w:pageBreakBefore/>
        <w:spacing w:after="100" w:before="480"/>
      </w:pPr>
      <w:r>
        <w:t xml:space="preserve">13. Deep Dive: target_accept, Step Size, and Divergences</w:t>
      </w:r>
    </w:p>
    <w:p>
      <w:pPr>
        <w:spacing w:after="140"/>
      </w:pPr>
      <w:r>
        <w:rPr>
          <w:b/>
          <w:bCs/>
          <w:color w:val="1BAF7A"/>
          <w:sz w:val="18"/>
          <w:szCs w:val="18"/>
        </w:rPr>
        <w:t xml:space="preserve">MMM STAGE:  </w:t>
      </w:r>
      <w:r>
        <w:rPr>
          <w:b/>
          <w:bCs/>
          <w:color w:val="1BAF7A"/>
          <w:sz w:val="18"/>
          <w:szCs w:val="18"/>
        </w:rPr>
        <w:t xml:space="preserve">Evaluation / MCMC diagnostics — sampler tuning within the Model Fitting stage</w:t>
      </w:r>
    </w:p>
    <w:p>
      <w:pPr>
        <w:pBdr>
          <w:left w:val="single" w:color="C97A22" w:sz="24"/>
        </w:pBdr>
        <w:shd w:fill="FBF3E7" w:val="clear"/>
        <w:spacing w:after="200" w:before="100"/>
        <w:ind w:left="172"/>
      </w:pPr>
      <w:r>
        <w:rPr>
          <w:b/>
          <w:bCs/>
          <w:i/>
          <w:iCs/>
        </w:rPr>
        <w:t xml:space="preserve">Your doubt:  </w:t>
      </w:r>
      <w:r>
        <w:rPr>
          <w:i/>
          <w:iCs/>
        </w:rPr>
        <w:t xml:space="preserve">Asked to go deeper into why a higher target_accept forces smaller steps and reduces divergences specifically — wanted to actually see the geometry, not just read the sentence again.</w:t>
      </w:r>
    </w:p>
    <w:p>
      <w:pPr>
        <w:spacing w:after="160" w:line="280"/>
      </w:pPr>
      <w:r>
        <w:t xml:space="preserve">The posterior's high-probability "density region" is not always a nice smooth bowl — it can narrow sharply in certain areas, similar to a funnel shape (this exact pathological case is a well-known teaching example called Neal's funnel). The diagram below shows this geometrically:</w:t>
      </w:r>
    </w:p>
    <w:p>
      <w:pPr>
        <w:spacing w:after="160" w:before="16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619500"/>
                    </a:xfrm>
                    <a:prstGeom prst="rect">
                      <a:avLst/>
                    </a:prstGeom>
                  </pic:spPr>
                </pic:pic>
              </a:graphicData>
            </a:graphic>
          </wp:inline>
        </w:drawing>
      </w:r>
    </w:p>
    <w:p>
      <w:pPr>
        <w:pStyle w:val="Heading3"/>
        <w:spacing w:after="80" w:before="200"/>
      </w:pPr>
      <w:r>
        <w:t xml:space="preserve">How to read this</w:t>
      </w:r>
    </w:p>
    <w:p>
      <w:pPr>
        <w:pStyle w:val="ListParagraph"/>
        <w:numPr>
          <w:ilvl w:val="0"/>
          <w:numId w:val="2"/>
        </w:numPr>
        <w:spacing w:after="100"/>
      </w:pPr>
      <w:r>
        <w:t xml:space="preserve">The purple funnel shape represents the posterior's high-probability region — wide at the top, narrowing sharply toward the middle.</w:t>
      </w:r>
    </w:p>
    <w:p>
      <w:pPr>
        <w:pStyle w:val="ListParagraph"/>
        <w:numPr>
          <w:ilvl w:val="0"/>
          <w:numId w:val="2"/>
        </w:numPr>
        <w:spacing w:after="100"/>
      </w:pPr>
      <w:r>
        <w:t xml:space="preserve">The green trajectory (small step size, high target_accept) takes many small, cautious steps and tracks the narrowing curve safely all the way through, staying inside the high-probability region at every point.</w:t>
      </w:r>
    </w:p>
    <w:p>
      <w:pPr>
        <w:pStyle w:val="ListParagraph"/>
        <w:numPr>
          <w:ilvl w:val="0"/>
          <w:numId w:val="2"/>
        </w:numPr>
        <w:spacing w:after="100"/>
      </w:pPr>
      <w:r>
        <w:t xml:space="preserve">The red trajectory (large step size, low target_accept) starts fine with a first big jump that's still technically inside, but the second large jump — right at the narrow neck of the funnel — overshoots the boundary entirely and lands outside the high-probability region. That overshoot is exactly what gets flagged as a divergence.</w:t>
      </w:r>
    </w:p>
    <w:p>
      <w:pPr>
        <w:pStyle w:val="Heading3"/>
        <w:spacing w:after="80" w:before="200"/>
      </w:pPr>
      <w:r>
        <w:t xml:space="preserve">Why this happens mechanically</w:t>
      </w:r>
    </w:p>
    <w:p>
      <w:pPr>
        <w:spacing w:after="160" w:line="280"/>
      </w:pPr>
      <w:r>
        <w:t xml:space="preserve">NUTS proposes a move, then probabilistically accepts or rejects it based on the posterior's local curvature at that point (the leftover "Metropolis" component inside NUTS, even though NUTS is far smarter than plain Metropolis-Hastings about where it proposes moves in the first place). target_accept controls how large a step NUTS is willing to risk before this accept/reject trade-off kicks in:</w:t>
      </w:r>
    </w:p>
    <w:p>
      <w:pPr>
        <w:pStyle w:val="ListParagraph"/>
        <w:numPr>
          <w:ilvl w:val="0"/>
          <w:numId w:val="2"/>
        </w:numPr>
        <w:spacing w:after="100"/>
      </w:pPr>
      <w:r>
        <w:t xml:space="preserve">Higher target_accept (e.g. 0.9-0.99): forces NUTS to take smaller, more cautious steps, since smaller steps are more likely to land inside the true high-probability region even when the local curvature is changing sharply (like at the funnel's narrow neck). This reduces divergences at the cost of somewhat slower sampling (more steps needed to cover the same ground).</w:t>
      </w:r>
    </w:p>
    <w:p>
      <w:pPr>
        <w:pStyle w:val="ListParagraph"/>
        <w:numPr>
          <w:ilvl w:val="0"/>
          <w:numId w:val="2"/>
        </w:numPr>
        <w:spacing w:after="100"/>
      </w:pPr>
      <w:r>
        <w:t xml:space="preserve">Lower target_accept (e.g. 0.8, PyMC's older default): allows larger, faster steps — fine in smoothly-shaped posteriors, but risky in regions with sharp curvature changes, since a large step can easily overshoot past the true region entirely, which is exactly what a divergence is.</w:t>
      </w:r>
    </w:p>
    <w:p>
      <w:pPr>
        <w:pStyle w:val="Heading3"/>
        <w:spacing w:after="80" w:before="200"/>
      </w:pPr>
      <w:r>
        <w:t xml:space="preserve">The practical takeaway</w:t>
      </w:r>
    </w:p>
    <w:p>
      <w:pPr>
        <w:spacing w:after="160" w:line="280"/>
      </w:pPr>
      <w:r>
        <w:t xml:space="preserve">If a real model reports divergences after sampling, the standard first fix is to raise target_accept (e.g. from 0.8 to 0.9 or 0.95) — this forces smaller, safer steps through exactly the kind of narrow, high-curvature regions shown in the diagram above. If divergences persist even after raising target_accept significantly, that's usually a sign the model's parameterization itself has a problem (e.g. a genuinely funnel-shaped posterior from a poorly scaled hierarchical parameter), which is a separate, deeper issue than just a sampling-speed setting.</w:t>
      </w:r>
    </w:p>
    <w:p>
      <w:pPr>
        <w:pBdr>
          <w:top w:val="single" w:color="CCCCCC" w:sz="6"/>
        </w:pBdr>
        <w:spacing w:before="460"/>
      </w:pPr>
      <w:r>
        <w:rPr>
          <w:i/>
          <w:iCs/>
          <w:color w:val="898781"/>
          <w:sz w:val="18"/>
          <w:szCs w:val="18"/>
        </w:rPr>
        <w:t xml:space="preserve">Where you are in the overall MMM workflow: environment setup and the full Bayesian model-fitting stage (priors, likelihood, posterior, MCMC mechanics, sampler diagnostics, calibration) are covered conceptually. Remaining stages to build out hands-on: fitting the real Altima data in PyMC-Marketing itself, posterior predictive evaluation on that model, decomposition/ROI with credible intervals, and Bayesian budget optimization.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6baced1c9eecf9271a5d68578fb877c90854de.undefined"/><Relationship Id="rId8" Type="http://schemas.openxmlformats.org/officeDocument/2006/relationships/image" Target="media/53bfadf0fbdd09abb198e21e99afa61dbb7197d8.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2026-08-19T06:30:06.862Z</dcterms:created>
  <dcterms:modified xsi:type="dcterms:W3CDTF">2026-08-19T06:30:06.862Z</dcterms:modified>
</cp:coreProperties>
</file>

<file path=docProps/custom.xml><?xml version="1.0" encoding="utf-8"?>
<Properties xmlns="http://schemas.openxmlformats.org/officeDocument/2006/custom-properties" xmlns:vt="http://schemas.openxmlformats.org/officeDocument/2006/docPropsVTypes"/>
</file>