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80"/>
      </w:pPr>
      <w:r>
        <w:rPr>
          <w:rFonts w:ascii="Calibri" w:hAnsi="Calibri"/>
          <w:b/>
          <w:color w:val="1B365D"/>
          <w:sz w:val="36"/>
        </w:rPr>
        <w:t>Technology Stack &amp; Architecture Decision Records (ADR)</w:t>
      </w:r>
    </w:p>
    <w:p>
      <w:pPr>
        <w:keepNext/>
        <w:spacing w:before="280" w:after="80"/>
      </w:pPr>
      <w:r>
        <w:rPr>
          <w:rFonts w:ascii="Calibri" w:hAnsi="Calibri"/>
          <w:b/>
          <w:color w:val="1B365D"/>
          <w:sz w:val="26"/>
        </w:rPr>
        <w:t>RetailSync: Centralized Super Shop Warehouse Management System</w:t>
      </w:r>
    </w:p>
    <w:p>
      <w:pPr>
        <w:spacing w:before="0" w:after="80" w:line="276" w:lineRule="auto"/>
      </w:pPr>
      <w:r>
        <w:rPr>
          <w:rFonts w:ascii="Calibri" w:hAnsi="Calibri"/>
          <w:b/>
          <w:color w:val="222222"/>
          <w:sz w:val="20"/>
        </w:rPr>
        <w:t>Subtitle:</w:t>
      </w:r>
      <w:r>
        <w:rPr>
          <w:rFonts w:ascii="Calibri" w:hAnsi="Calibri"/>
          <w:color w:val="222222"/>
          <w:sz w:val="20"/>
        </w:rPr>
        <w:t xml:space="preserve"> Engineering Stack Selection, Component Standards, and Architectural Decision Records</w:t>
      </w:r>
    </w:p>
    <w:p>
      <w:pPr>
        <w:spacing w:before="0" w:after="80" w:line="276" w:lineRule="auto"/>
      </w:pPr>
      <w:r>
        <w:rPr>
          <w:rFonts w:ascii="Calibri" w:hAnsi="Calibri"/>
          <w:b/>
          <w:color w:val="222222"/>
          <w:sz w:val="20"/>
        </w:rPr>
        <w:t>Course:</w:t>
      </w:r>
      <w:r>
        <w:rPr>
          <w:rFonts w:ascii="Calibri" w:hAnsi="Calibri"/>
          <w:color w:val="222222"/>
          <w:sz w:val="20"/>
        </w:rPr>
        <w:t xml:space="preserve"> SE-231 (Software System Analysis &amp; Design / Capstone Project 2)</w:t>
      </w:r>
    </w:p>
    <w:p>
      <w:pPr>
        <w:spacing w:before="0" w:after="80" w:line="276" w:lineRule="auto"/>
      </w:pPr>
      <w:r>
        <w:rPr>
          <w:rFonts w:ascii="Calibri" w:hAnsi="Calibri"/>
          <w:b/>
          <w:color w:val="222222"/>
          <w:sz w:val="20"/>
        </w:rPr>
        <w:t>Academic Institution:</w:t>
      </w:r>
      <w:r>
        <w:rPr>
          <w:rFonts w:ascii="Calibri" w:hAnsi="Calibri"/>
          <w:color w:val="222222"/>
          <w:sz w:val="20"/>
        </w:rPr>
        <w:t xml:space="preserve"> Daffodil International University (DIU), Department of Software Engineering</w:t>
      </w:r>
    </w:p>
    <w:p>
      <w:pPr>
        <w:spacing w:before="0" w:after="80" w:line="276" w:lineRule="auto"/>
      </w:pPr>
      <w:r>
        <w:rPr>
          <w:rFonts w:ascii="Calibri" w:hAnsi="Calibri"/>
          <w:b/>
          <w:color w:val="222222"/>
          <w:sz w:val="20"/>
        </w:rPr>
        <w:t>Author:</w:t>
      </w:r>
      <w:r>
        <w:rPr>
          <w:rFonts w:ascii="Calibri" w:hAnsi="Calibri"/>
          <w:color w:val="222222"/>
          <w:sz w:val="20"/>
        </w:rPr>
        <w:t xml:space="preserve"> Raisul Islam Likhon (Section: SWE-44D)</w:t>
      </w:r>
    </w:p>
    <w:p>
      <w:pPr>
        <w:spacing w:before="0" w:after="80" w:line="276" w:lineRule="auto"/>
      </w:pPr>
      <w:r>
        <w:rPr>
          <w:rFonts w:ascii="Calibri" w:hAnsi="Calibri"/>
          <w:b/>
          <w:color w:val="222222"/>
          <w:sz w:val="20"/>
        </w:rPr>
        <w:t>Date:</w:t>
      </w:r>
      <w:r>
        <w:rPr>
          <w:rFonts w:ascii="Calibri" w:hAnsi="Calibri"/>
          <w:color w:val="222222"/>
          <w:sz w:val="20"/>
        </w:rPr>
        <w:t xml:space="preserve"> September 2026 | Version: 1.0.0-RELEASE</w:t>
      </w:r>
    </w:p>
    <w:p>
      <w:pPr>
        <w:spacing w:before="80" w:after="160"/>
        <w:pBdr>
          <w:bottom w:val="single" w:sz="6" w:space="1" w:color="CBD5E1"/>
        </w:pBdr>
      </w:pPr>
    </w:p>
    <w:p>
      <w:pPr>
        <w:keepNext/>
        <w:spacing w:before="280" w:after="80"/>
      </w:pPr>
      <w:r>
        <w:rPr>
          <w:rFonts w:ascii="Calibri" w:hAnsi="Calibri"/>
          <w:b/>
          <w:color w:val="1B365D"/>
          <w:sz w:val="26"/>
        </w:rPr>
        <w:t>1. Curated Technology Stack Matrix</w:t>
      </w:r>
    </w:p>
    <w:p>
      <w:pPr>
        <w:spacing w:before="0" w:after="80" w:line="276" w:lineRule="auto"/>
      </w:pPr>
      <w:r>
        <w:rPr>
          <w:rFonts w:ascii="Calibri" w:hAnsi="Calibri"/>
          <w:color w:val="222222"/>
          <w:sz w:val="20"/>
        </w:rPr>
        <w:t>RetailSync is built using modern, open-source, battle-tested software engineering technologies carefully curated for high throughput, sub-second latency, developer productivity, and near-zero software licensing costs:</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40" w:type="dxa"/>
              <w:right w:w="140" w:type="dxa"/>
            </w:tcMar>
            <w:tcBorders>
              <w:left w:val="single" w:sz="12" w:space="0" w:color="1B365D"/>
              <w:top w:val="single" w:sz="4" w:space="0" w:color="E2E8F0"/>
              <w:right w:val="single" w:sz="4" w:space="0" w:color="E2E8F0"/>
              <w:bottom w:val="single" w:sz="4" w:space="0" w:color="E2E8F0"/>
            </w:tcBorders>
          </w:tcPr>
          <w:p>
            <w:pPr>
              <w:spacing w:before="40" w:after="40" w:line="252" w:lineRule="auto"/>
            </w:pPr>
            <w:r>
              <w:rPr>
                <w:rFonts w:ascii="Consolas" w:hAnsi="Consolas"/>
                <w:color w:val="1E293B"/>
                <w:sz w:val="17"/>
              </w:rPr>
              <w:t>+-----------------------------------------------------------------------------------------+</w:t>
              <w:br/>
              <w:t>|                                    RETAILSYNC STACK                                     |</w:t>
              <w:br/>
              <w:t>+-----------------------------------------------------------------------------------------+</w:t>
              <w:br/>
              <w:t>|  FRONTEND PWA        | Next.js 14 / React 18, Tailwind CSS, TanStack Query, Zustand     |</w:t>
              <w:br/>
              <w:t>|  BARCODE ENGINES     | ZXing / Html5-QRCode + Bluetooth HID Hardware Scanner Profiles   |</w:t>
              <w:br/>
              <w:t>|  BACKEND API         | Python 3.11+ / FastAPI (Asynchronous ASGI), Pydantic v2         |</w:t>
              <w:br/>
              <w:t>|  DATABASE CORE       | PostgreSQL 16 (ACID 3NF Normalized, Composite B-Tree Indexes)    |</w:t>
              <w:br/>
              <w:t>|  IN-MEMORY CACHE     | Redis 7 (Idempotency Keys, Session Store, Distributed Rate Locks)|</w:t>
              <w:br/>
              <w:t>|  DECISION ENGINE     | NumPy, SciPy (Greasley Variance, EOQ), Scikit-learn (Isolation)  |</w:t>
              <w:br/>
              <w:t>|  INFRA &amp; DEVOPS      | Docker, Docker Compose, Nginx Reverse Proxy, GitHub Actions CI/CD|</w:t>
              <w:br/>
              <w:t>|  TESTING FRAMEWORKS  | Pytest, HTTPX AsyncClient, Locust (Concurrency Stress Testing)   |</w:t>
              <w:br/>
              <w:t>+-----------------------------------------------------------------------------------------+</w:t>
            </w:r>
          </w:p>
        </w:tc>
      </w:tr>
    </w:tbl>
    <w:p>
      <w:pPr>
        <w:spacing w:before="0" w:after="80"/>
      </w:pPr>
    </w:p>
    <w:p>
      <w:pPr>
        <w:keepNext/>
        <w:spacing w:before="200" w:after="60"/>
      </w:pPr>
      <w:r>
        <w:rPr>
          <w:rFonts w:ascii="Calibri" w:hAnsi="Calibri"/>
          <w:b/>
          <w:color w:val="2B4C7E"/>
          <w:sz w:val="22"/>
        </w:rPr>
        <w:t>1.1 Detailed Technology Specifications</w:t>
      </w:r>
    </w:p>
    <w:tbl>
      <w:tblPr>
        <w:tblW w:type="auto" w:w="0"/>
        <w:jc w:val="center"/>
        <w:tblLook w:firstColumn="1" w:firstRow="1" w:lastColumn="0" w:lastRow="0" w:noHBand="0" w:noVBand="1" w:val="04A0"/>
        <w:tblBorders>
          <w:top w:val="single" w:sz="6" w:space="0" w:color="CBD5E1"/>
          <w:bottom w:val="single" w:sz="8" w:space="0" w:color="CBD5E1"/>
          <w:left w:val="none"/>
          <w:right w:val="none"/>
          <w:insideH w:val="single" w:sz="4" w:space="0" w:color="CBD5E1"/>
          <w:insideV w:val="none"/>
        </w:tblBorders>
      </w:tblPr>
      <w:tblGrid>
        <w:gridCol w:w="2340"/>
        <w:gridCol w:w="2340"/>
        <w:gridCol w:w="2340"/>
        <w:gridCol w:w="2340"/>
      </w:tblGrid>
      <w:tr>
        <w:trPr>
          <w:tblHeader/>
          <w:cantSplit/>
        </w:trPr>
        <w:tc>
          <w:tcPr>
            <w:tcW w:type="dxa" w:w="2285"/>
            <w:shd w:fill="1B365D"/>
            <w:tcMar>
              <w:top w:w="100" w:type="dxa"/>
              <w:bottom w:w="100" w:type="dxa"/>
              <w:left w:w="110" w:type="dxa"/>
              <w:right w:w="110" w:type="dxa"/>
            </w:tcMar>
          </w:tcPr>
          <w:p>
            <w:pPr>
              <w:spacing w:before="0" w:after="0"/>
            </w:pPr>
            <w:r>
              <w:rPr>
                <w:rFonts w:ascii="Calibri" w:hAnsi="Calibri"/>
                <w:b/>
                <w:color w:val="FFFFFF"/>
                <w:sz w:val="18"/>
              </w:rPr>
              <w:t>Architecture Tier</w:t>
            </w:r>
          </w:p>
        </w:tc>
        <w:tc>
          <w:tcPr>
            <w:tcW w:type="dxa" w:w="1769"/>
            <w:shd w:fill="1B365D"/>
            <w:tcMar>
              <w:top w:w="100" w:type="dxa"/>
              <w:bottom w:w="100" w:type="dxa"/>
              <w:left w:w="110" w:type="dxa"/>
              <w:right w:w="110" w:type="dxa"/>
            </w:tcMar>
          </w:tcPr>
          <w:p>
            <w:pPr>
              <w:spacing w:before="0" w:after="0"/>
            </w:pPr>
            <w:r>
              <w:rPr>
                <w:rFonts w:ascii="Calibri" w:hAnsi="Calibri"/>
                <w:b/>
                <w:color w:val="FFFFFF"/>
                <w:sz w:val="18"/>
              </w:rPr>
              <w:t>Primary Technology</w:t>
            </w:r>
          </w:p>
        </w:tc>
        <w:tc>
          <w:tcPr>
            <w:tcW w:type="dxa" w:w="1621"/>
            <w:shd w:fill="1B365D"/>
            <w:tcMar>
              <w:top w:w="100" w:type="dxa"/>
              <w:bottom w:w="100" w:type="dxa"/>
              <w:left w:w="110" w:type="dxa"/>
              <w:right w:w="110" w:type="dxa"/>
            </w:tcMar>
          </w:tcPr>
          <w:p>
            <w:pPr>
              <w:spacing w:before="0" w:after="0"/>
            </w:pPr>
            <w:r>
              <w:rPr>
                <w:rFonts w:ascii="Calibri" w:hAnsi="Calibri"/>
                <w:b/>
                <w:color w:val="FFFFFF"/>
                <w:sz w:val="18"/>
              </w:rPr>
              <w:t>Selected Version</w:t>
            </w:r>
          </w:p>
        </w:tc>
        <w:tc>
          <w:tcPr>
            <w:tcW w:type="dxa" w:w="3685"/>
            <w:shd w:fill="1B365D"/>
            <w:tcMar>
              <w:top w:w="100" w:type="dxa"/>
              <w:bottom w:w="100" w:type="dxa"/>
              <w:left w:w="110" w:type="dxa"/>
              <w:right w:w="110" w:type="dxa"/>
            </w:tcMar>
          </w:tcPr>
          <w:p>
            <w:pPr>
              <w:spacing w:before="0" w:after="0"/>
            </w:pPr>
            <w:r>
              <w:rPr>
                <w:rFonts w:ascii="Calibri" w:hAnsi="Calibri"/>
                <w:b/>
                <w:color w:val="FFFFFF"/>
                <w:sz w:val="18"/>
              </w:rPr>
              <w:t>Strategic Justification for Capstone &amp; Production</w:t>
            </w:r>
          </w:p>
        </w:tc>
      </w:tr>
      <w:tr>
        <w:trPr>
          <w:cantSplit/>
        </w:trPr>
        <w:tc>
          <w:tcPr>
            <w:tcW w:type="dxa" w:w="2285"/>
            <w:shd w:fill="FFFFFF"/>
            <w:tcMar>
              <w:top w:w="65" w:type="dxa"/>
              <w:bottom w:w="65" w:type="dxa"/>
              <w:left w:w="100" w:type="dxa"/>
              <w:right w:w="100" w:type="dxa"/>
            </w:tcMar>
          </w:tcPr>
          <w:p>
            <w:pPr>
              <w:spacing w:before="0" w:after="0" w:line="276" w:lineRule="auto"/>
            </w:pPr>
            <w:r>
              <w:rPr>
                <w:rFonts w:ascii="Calibri" w:hAnsi="Calibri"/>
                <w:b/>
                <w:color w:val="222222"/>
                <w:sz w:val="17"/>
              </w:rPr>
              <w:t>Frontend Framework</w:t>
            </w:r>
          </w:p>
        </w:tc>
        <w:tc>
          <w:tcPr>
            <w:tcW w:type="dxa" w:w="1769"/>
            <w:shd w:fill="FFFFFF"/>
            <w:tcMar>
              <w:top w:w="65" w:type="dxa"/>
              <w:bottom w:w="65" w:type="dxa"/>
              <w:left w:w="100" w:type="dxa"/>
              <w:right w:w="100" w:type="dxa"/>
            </w:tcMar>
          </w:tcPr>
          <w:p>
            <w:pPr>
              <w:spacing w:before="0" w:after="0" w:line="276" w:lineRule="auto"/>
            </w:pPr>
            <w:r>
              <w:rPr>
                <w:rFonts w:ascii="Calibri" w:hAnsi="Calibri"/>
                <w:b/>
                <w:color w:val="222222"/>
                <w:sz w:val="17"/>
              </w:rPr>
              <w:t>Next.js / React</w:t>
            </w:r>
          </w:p>
        </w:tc>
        <w:tc>
          <w:tcPr>
            <w:tcW w:type="dxa" w:w="1621"/>
            <w:shd w:fill="FFFFFF"/>
            <w:tcMar>
              <w:top w:w="65" w:type="dxa"/>
              <w:bottom w:w="65" w:type="dxa"/>
              <w:left w:w="100" w:type="dxa"/>
              <w:right w:w="100" w:type="dxa"/>
            </w:tcMar>
          </w:tcPr>
          <w:p>
            <w:pPr>
              <w:spacing w:before="0" w:after="0" w:line="276" w:lineRule="auto"/>
            </w:pPr>
            <w:r>
              <w:rPr>
                <w:rFonts w:ascii="Consolas" w:hAnsi="Consolas"/>
                <w:color w:val="0D5C75"/>
                <w:sz w:val="16"/>
              </w:rPr>
              <w:t>14.2+</w:t>
            </w:r>
            <w:r>
              <w:rPr>
                <w:rFonts w:ascii="Calibri" w:hAnsi="Calibri"/>
                <w:color w:val="222222"/>
                <w:sz w:val="17"/>
              </w:rPr>
              <w:t xml:space="preserve"> (App Router)</w:t>
            </w:r>
          </w:p>
        </w:tc>
        <w:tc>
          <w:tcPr>
            <w:tcW w:type="dxa" w:w="3685"/>
            <w:shd w:fill="FFFFFF"/>
            <w:tcMar>
              <w:top w:w="65" w:type="dxa"/>
              <w:bottom w:w="65" w:type="dxa"/>
              <w:left w:w="100" w:type="dxa"/>
              <w:right w:w="100" w:type="dxa"/>
            </w:tcMar>
          </w:tcPr>
          <w:p>
            <w:pPr>
              <w:spacing w:before="0" w:after="0" w:line="276" w:lineRule="auto"/>
            </w:pPr>
            <w:r>
              <w:rPr>
                <w:rFonts w:ascii="Calibri" w:hAnsi="Calibri"/>
                <w:color w:val="222222"/>
                <w:sz w:val="17"/>
              </w:rPr>
              <w:t>Single Page Application (SPA) speed with server-side rendering (SSR) for dashboards; eliminates page-reload latency on mobile scanning terminals.</w:t>
            </w:r>
          </w:p>
        </w:tc>
      </w:tr>
      <w:tr>
        <w:trPr>
          <w:cantSplit/>
        </w:trPr>
        <w:tc>
          <w:tcPr>
            <w:tcW w:type="dxa" w:w="2285"/>
            <w:shd w:fill="F8FAFC"/>
            <w:tcMar>
              <w:top w:w="65" w:type="dxa"/>
              <w:bottom w:w="65" w:type="dxa"/>
              <w:left w:w="100" w:type="dxa"/>
              <w:right w:w="100" w:type="dxa"/>
            </w:tcMar>
          </w:tcPr>
          <w:p>
            <w:pPr>
              <w:spacing w:before="0" w:after="0" w:line="276" w:lineRule="auto"/>
            </w:pPr>
            <w:r>
              <w:rPr>
                <w:rFonts w:ascii="Calibri" w:hAnsi="Calibri"/>
                <w:b/>
                <w:color w:val="222222"/>
                <w:sz w:val="17"/>
              </w:rPr>
              <w:t>Styling &amp; Design System</w:t>
            </w:r>
          </w:p>
        </w:tc>
        <w:tc>
          <w:tcPr>
            <w:tcW w:type="dxa" w:w="1769"/>
            <w:shd w:fill="F8FAFC"/>
            <w:tcMar>
              <w:top w:w="65" w:type="dxa"/>
              <w:bottom w:w="65" w:type="dxa"/>
              <w:left w:w="100" w:type="dxa"/>
              <w:right w:w="100" w:type="dxa"/>
            </w:tcMar>
          </w:tcPr>
          <w:p>
            <w:pPr>
              <w:spacing w:before="0" w:after="0" w:line="276" w:lineRule="auto"/>
            </w:pPr>
            <w:r>
              <w:rPr>
                <w:rFonts w:ascii="Calibri" w:hAnsi="Calibri"/>
                <w:b/>
                <w:color w:val="222222"/>
                <w:sz w:val="17"/>
              </w:rPr>
              <w:t>Tailwind CSS</w:t>
            </w:r>
          </w:p>
        </w:tc>
        <w:tc>
          <w:tcPr>
            <w:tcW w:type="dxa" w:w="1621"/>
            <w:shd w:fill="F8FAFC"/>
            <w:tcMar>
              <w:top w:w="65" w:type="dxa"/>
              <w:bottom w:w="65" w:type="dxa"/>
              <w:left w:w="100" w:type="dxa"/>
              <w:right w:w="100" w:type="dxa"/>
            </w:tcMar>
          </w:tcPr>
          <w:p>
            <w:pPr>
              <w:spacing w:before="0" w:after="0" w:line="276" w:lineRule="auto"/>
            </w:pPr>
            <w:r>
              <w:rPr>
                <w:rFonts w:ascii="Consolas" w:hAnsi="Consolas"/>
                <w:color w:val="0D5C75"/>
                <w:sz w:val="16"/>
              </w:rPr>
              <w:t>3.4+</w:t>
            </w:r>
          </w:p>
        </w:tc>
        <w:tc>
          <w:tcPr>
            <w:tcW w:type="dxa" w:w="3685"/>
            <w:shd w:fill="F8FAFC"/>
            <w:tcMar>
              <w:top w:w="65" w:type="dxa"/>
              <w:bottom w:w="65" w:type="dxa"/>
              <w:left w:w="100" w:type="dxa"/>
              <w:right w:w="100" w:type="dxa"/>
            </w:tcMar>
          </w:tcPr>
          <w:p>
            <w:pPr>
              <w:spacing w:before="0" w:after="0" w:line="276" w:lineRule="auto"/>
            </w:pPr>
            <w:r>
              <w:rPr>
                <w:rFonts w:ascii="Calibri" w:hAnsi="Calibri"/>
                <w:color w:val="222222"/>
                <w:sz w:val="17"/>
              </w:rPr>
              <w:t>Rapid component styling; ultra-clean modern aesthetic; utility-first layout supporting high-contrast floor themes.</w:t>
            </w:r>
          </w:p>
        </w:tc>
      </w:tr>
      <w:tr>
        <w:trPr>
          <w:cantSplit/>
        </w:trPr>
        <w:tc>
          <w:tcPr>
            <w:tcW w:type="dxa" w:w="2285"/>
            <w:shd w:fill="FFFFFF"/>
            <w:tcMar>
              <w:top w:w="65" w:type="dxa"/>
              <w:bottom w:w="65" w:type="dxa"/>
              <w:left w:w="100" w:type="dxa"/>
              <w:right w:w="100" w:type="dxa"/>
            </w:tcMar>
          </w:tcPr>
          <w:p>
            <w:pPr>
              <w:spacing w:before="0" w:after="0" w:line="276" w:lineRule="auto"/>
            </w:pPr>
            <w:r>
              <w:rPr>
                <w:rFonts w:ascii="Calibri" w:hAnsi="Calibri"/>
                <w:b/>
                <w:color w:val="222222"/>
                <w:sz w:val="17"/>
              </w:rPr>
              <w:t>Client State Management</w:t>
            </w:r>
          </w:p>
        </w:tc>
        <w:tc>
          <w:tcPr>
            <w:tcW w:type="dxa" w:w="1769"/>
            <w:shd w:fill="FFFFFF"/>
            <w:tcMar>
              <w:top w:w="65" w:type="dxa"/>
              <w:bottom w:w="65" w:type="dxa"/>
              <w:left w:w="100" w:type="dxa"/>
              <w:right w:w="100" w:type="dxa"/>
            </w:tcMar>
          </w:tcPr>
          <w:p>
            <w:pPr>
              <w:spacing w:before="0" w:after="0" w:line="276" w:lineRule="auto"/>
            </w:pPr>
            <w:r>
              <w:rPr>
                <w:rFonts w:ascii="Calibri" w:hAnsi="Calibri"/>
                <w:b/>
                <w:color w:val="222222"/>
                <w:sz w:val="17"/>
              </w:rPr>
              <w:t>Zustand</w:t>
            </w:r>
          </w:p>
        </w:tc>
        <w:tc>
          <w:tcPr>
            <w:tcW w:type="dxa" w:w="1621"/>
            <w:shd w:fill="FFFFFF"/>
            <w:tcMar>
              <w:top w:w="65" w:type="dxa"/>
              <w:bottom w:w="65" w:type="dxa"/>
              <w:left w:w="100" w:type="dxa"/>
              <w:right w:w="100" w:type="dxa"/>
            </w:tcMar>
          </w:tcPr>
          <w:p>
            <w:pPr>
              <w:spacing w:before="0" w:after="0" w:line="276" w:lineRule="auto"/>
            </w:pPr>
            <w:r>
              <w:rPr>
                <w:rFonts w:ascii="Consolas" w:hAnsi="Consolas"/>
                <w:color w:val="0D5C75"/>
                <w:sz w:val="16"/>
              </w:rPr>
              <w:t>4.5+</w:t>
            </w:r>
          </w:p>
        </w:tc>
        <w:tc>
          <w:tcPr>
            <w:tcW w:type="dxa" w:w="3685"/>
            <w:shd w:fill="FFFFFF"/>
            <w:tcMar>
              <w:top w:w="65" w:type="dxa"/>
              <w:bottom w:w="65" w:type="dxa"/>
              <w:left w:w="100" w:type="dxa"/>
              <w:right w:w="100" w:type="dxa"/>
            </w:tcMar>
          </w:tcPr>
          <w:p>
            <w:pPr>
              <w:spacing w:before="0" w:after="0" w:line="276" w:lineRule="auto"/>
            </w:pPr>
            <w:r>
              <w:rPr>
                <w:rFonts w:ascii="Calibri" w:hAnsi="Calibri"/>
                <w:color w:val="222222"/>
                <w:sz w:val="17"/>
              </w:rPr>
              <w:t>Extremely lightweight (1.1 kB), minimalist state store for managing active picker sessions, scan queues, and cart states without Redux boilerplate.</w:t>
            </w:r>
          </w:p>
        </w:tc>
      </w:tr>
      <w:tr>
        <w:trPr>
          <w:cantSplit/>
        </w:trPr>
        <w:tc>
          <w:tcPr>
            <w:tcW w:type="dxa" w:w="2285"/>
            <w:shd w:fill="F8FAFC"/>
            <w:tcMar>
              <w:top w:w="65" w:type="dxa"/>
              <w:bottom w:w="65" w:type="dxa"/>
              <w:left w:w="100" w:type="dxa"/>
              <w:right w:w="100" w:type="dxa"/>
            </w:tcMar>
          </w:tcPr>
          <w:p>
            <w:pPr>
              <w:spacing w:before="0" w:after="0" w:line="276" w:lineRule="auto"/>
            </w:pPr>
            <w:r>
              <w:rPr>
                <w:rFonts w:ascii="Calibri" w:hAnsi="Calibri"/>
                <w:b/>
                <w:color w:val="222222"/>
                <w:sz w:val="17"/>
              </w:rPr>
              <w:t>Data Fetching &amp; Cache</w:t>
            </w:r>
          </w:p>
        </w:tc>
        <w:tc>
          <w:tcPr>
            <w:tcW w:type="dxa" w:w="1769"/>
            <w:shd w:fill="F8FAFC"/>
            <w:tcMar>
              <w:top w:w="65" w:type="dxa"/>
              <w:bottom w:w="65" w:type="dxa"/>
              <w:left w:w="100" w:type="dxa"/>
              <w:right w:w="100" w:type="dxa"/>
            </w:tcMar>
          </w:tcPr>
          <w:p>
            <w:pPr>
              <w:spacing w:before="0" w:after="0" w:line="276" w:lineRule="auto"/>
            </w:pPr>
            <w:r>
              <w:rPr>
                <w:rFonts w:ascii="Calibri" w:hAnsi="Calibri"/>
                <w:b/>
                <w:color w:val="222222"/>
                <w:sz w:val="17"/>
              </w:rPr>
              <w:t>TanStack Query</w:t>
            </w:r>
          </w:p>
        </w:tc>
        <w:tc>
          <w:tcPr>
            <w:tcW w:type="dxa" w:w="1621"/>
            <w:shd w:fill="F8FAFC"/>
            <w:tcMar>
              <w:top w:w="65" w:type="dxa"/>
              <w:bottom w:w="65" w:type="dxa"/>
              <w:left w:w="100" w:type="dxa"/>
              <w:right w:w="100" w:type="dxa"/>
            </w:tcMar>
          </w:tcPr>
          <w:p>
            <w:pPr>
              <w:spacing w:before="0" w:after="0" w:line="276" w:lineRule="auto"/>
            </w:pPr>
            <w:r>
              <w:rPr>
                <w:rFonts w:ascii="Consolas" w:hAnsi="Consolas"/>
                <w:color w:val="0D5C75"/>
                <w:sz w:val="16"/>
              </w:rPr>
              <w:t>v5.0+</w:t>
            </w:r>
          </w:p>
        </w:tc>
        <w:tc>
          <w:tcPr>
            <w:tcW w:type="dxa" w:w="3685"/>
            <w:shd w:fill="F8FAFC"/>
            <w:tcMar>
              <w:top w:w="65" w:type="dxa"/>
              <w:bottom w:w="65" w:type="dxa"/>
              <w:left w:w="100" w:type="dxa"/>
              <w:right w:w="100" w:type="dxa"/>
            </w:tcMar>
          </w:tcPr>
          <w:p>
            <w:pPr>
              <w:spacing w:before="0" w:after="0" w:line="276" w:lineRule="auto"/>
            </w:pPr>
            <w:r>
              <w:rPr>
                <w:rFonts w:ascii="Calibri" w:hAnsi="Calibri"/>
                <w:color w:val="222222"/>
                <w:sz w:val="17"/>
              </w:rPr>
              <w:t>Automatic background refetching, query caching, and optimistic UI updates for real-time warehouse bin occupancy rendering.</w:t>
            </w:r>
          </w:p>
        </w:tc>
      </w:tr>
      <w:tr>
        <w:trPr>
          <w:cantSplit/>
        </w:trPr>
        <w:tc>
          <w:tcPr>
            <w:tcW w:type="dxa" w:w="2285"/>
            <w:shd w:fill="FFFFFF"/>
            <w:tcMar>
              <w:top w:w="65" w:type="dxa"/>
              <w:bottom w:w="65" w:type="dxa"/>
              <w:left w:w="100" w:type="dxa"/>
              <w:right w:w="100" w:type="dxa"/>
            </w:tcMar>
          </w:tcPr>
          <w:p>
            <w:pPr>
              <w:spacing w:before="0" w:after="0" w:line="276" w:lineRule="auto"/>
            </w:pPr>
            <w:r>
              <w:rPr>
                <w:rFonts w:ascii="Calibri" w:hAnsi="Calibri"/>
                <w:b/>
                <w:color w:val="222222"/>
                <w:sz w:val="17"/>
              </w:rPr>
              <w:t>Barcode Scanner Integration</w:t>
            </w:r>
          </w:p>
        </w:tc>
        <w:tc>
          <w:tcPr>
            <w:tcW w:type="dxa" w:w="1769"/>
            <w:shd w:fill="FFFFFF"/>
            <w:tcMar>
              <w:top w:w="65" w:type="dxa"/>
              <w:bottom w:w="65" w:type="dxa"/>
              <w:left w:w="100" w:type="dxa"/>
              <w:right w:w="100" w:type="dxa"/>
            </w:tcMar>
          </w:tcPr>
          <w:p>
            <w:pPr>
              <w:spacing w:before="0" w:after="0" w:line="276" w:lineRule="auto"/>
            </w:pPr>
            <w:r>
              <w:rPr>
                <w:rFonts w:ascii="Calibri" w:hAnsi="Calibri"/>
                <w:b/>
                <w:color w:val="222222"/>
                <w:sz w:val="17"/>
              </w:rPr>
              <w:t>Html5-QRCode / ZXing</w:t>
            </w:r>
          </w:p>
        </w:tc>
        <w:tc>
          <w:tcPr>
            <w:tcW w:type="dxa" w:w="1621"/>
            <w:shd w:fill="FFFFFF"/>
            <w:tcMar>
              <w:top w:w="65" w:type="dxa"/>
              <w:bottom w:w="65" w:type="dxa"/>
              <w:left w:w="100" w:type="dxa"/>
              <w:right w:w="100" w:type="dxa"/>
            </w:tcMar>
          </w:tcPr>
          <w:p>
            <w:pPr>
              <w:spacing w:before="0" w:after="0" w:line="276" w:lineRule="auto"/>
            </w:pPr>
            <w:r>
              <w:rPr>
                <w:rFonts w:ascii="Calibri" w:hAnsi="Calibri"/>
                <w:color w:val="222222"/>
                <w:sz w:val="17"/>
              </w:rPr>
              <w:t>Latest Stable</w:t>
            </w:r>
          </w:p>
        </w:tc>
        <w:tc>
          <w:tcPr>
            <w:tcW w:type="dxa" w:w="3685"/>
            <w:shd w:fill="FFFFFF"/>
            <w:tcMar>
              <w:top w:w="65" w:type="dxa"/>
              <w:bottom w:w="65" w:type="dxa"/>
              <w:left w:w="100" w:type="dxa"/>
              <w:right w:w="100" w:type="dxa"/>
            </w:tcMar>
          </w:tcPr>
          <w:p>
            <w:pPr>
              <w:spacing w:before="0" w:after="0" w:line="276" w:lineRule="auto"/>
            </w:pPr>
            <w:r>
              <w:rPr>
                <w:rFonts w:ascii="Calibri" w:hAnsi="Calibri"/>
                <w:color w:val="222222"/>
                <w:sz w:val="17"/>
              </w:rPr>
              <w:t>Pure JavaScript barcode engine reading 1D (EAN-13, Code 128, GS1) and 2D (QR) barcodes directly from smartphone cameras and Bluetooth trigger guns.</w:t>
            </w:r>
          </w:p>
        </w:tc>
      </w:tr>
      <w:tr>
        <w:trPr>
          <w:cantSplit/>
        </w:trPr>
        <w:tc>
          <w:tcPr>
            <w:tcW w:type="dxa" w:w="2285"/>
            <w:shd w:fill="F8FAFC"/>
            <w:tcMar>
              <w:top w:w="65" w:type="dxa"/>
              <w:bottom w:w="65" w:type="dxa"/>
              <w:left w:w="100" w:type="dxa"/>
              <w:right w:w="100" w:type="dxa"/>
            </w:tcMar>
          </w:tcPr>
          <w:p>
            <w:pPr>
              <w:spacing w:before="0" w:after="0" w:line="276" w:lineRule="auto"/>
            </w:pPr>
            <w:r>
              <w:rPr>
                <w:rFonts w:ascii="Calibri" w:hAnsi="Calibri"/>
                <w:b/>
                <w:color w:val="222222"/>
                <w:sz w:val="17"/>
              </w:rPr>
              <w:t>Backend API Framework</w:t>
            </w:r>
          </w:p>
        </w:tc>
        <w:tc>
          <w:tcPr>
            <w:tcW w:type="dxa" w:w="1769"/>
            <w:shd w:fill="F8FAFC"/>
            <w:tcMar>
              <w:top w:w="65" w:type="dxa"/>
              <w:bottom w:w="65" w:type="dxa"/>
              <w:left w:w="100" w:type="dxa"/>
              <w:right w:w="100" w:type="dxa"/>
            </w:tcMar>
          </w:tcPr>
          <w:p>
            <w:pPr>
              <w:spacing w:before="0" w:after="0" w:line="276" w:lineRule="auto"/>
            </w:pPr>
            <w:r>
              <w:rPr>
                <w:rFonts w:ascii="Calibri" w:hAnsi="Calibri"/>
                <w:b/>
                <w:color w:val="222222"/>
                <w:sz w:val="17"/>
              </w:rPr>
              <w:t>Python FastAPI</w:t>
            </w:r>
          </w:p>
        </w:tc>
        <w:tc>
          <w:tcPr>
            <w:tcW w:type="dxa" w:w="1621"/>
            <w:shd w:fill="F8FAFC"/>
            <w:tcMar>
              <w:top w:w="65" w:type="dxa"/>
              <w:bottom w:w="65" w:type="dxa"/>
              <w:left w:w="100" w:type="dxa"/>
              <w:right w:w="100" w:type="dxa"/>
            </w:tcMar>
          </w:tcPr>
          <w:p>
            <w:pPr>
              <w:spacing w:before="0" w:after="0" w:line="276" w:lineRule="auto"/>
            </w:pPr>
            <w:r>
              <w:rPr>
                <w:rFonts w:ascii="Consolas" w:hAnsi="Consolas"/>
                <w:color w:val="0D5C75"/>
                <w:sz w:val="16"/>
              </w:rPr>
              <w:t>0.111+</w:t>
            </w:r>
            <w:r>
              <w:rPr>
                <w:rFonts w:ascii="Calibri" w:hAnsi="Calibri"/>
                <w:color w:val="222222"/>
                <w:sz w:val="17"/>
              </w:rPr>
              <w:t xml:space="preserve"> (Python 3.11)</w:t>
            </w:r>
          </w:p>
        </w:tc>
        <w:tc>
          <w:tcPr>
            <w:tcW w:type="dxa" w:w="3685"/>
            <w:shd w:fill="F8FAFC"/>
            <w:tcMar>
              <w:top w:w="65" w:type="dxa"/>
              <w:bottom w:w="65" w:type="dxa"/>
              <w:left w:w="100" w:type="dxa"/>
              <w:right w:w="100" w:type="dxa"/>
            </w:tcMar>
          </w:tcPr>
          <w:p>
            <w:pPr>
              <w:spacing w:before="0" w:after="0" w:line="276" w:lineRule="auto"/>
            </w:pPr>
            <w:r>
              <w:rPr>
                <w:rFonts w:ascii="Calibri" w:hAnsi="Calibri"/>
                <w:color w:val="222222"/>
                <w:sz w:val="17"/>
              </w:rPr>
              <w:t>High-performance asynchronous execution on Starlette/uvloop; automatic OpenAPI 3.1 / Swagger documentation; deep integration with scientific math libraries.</w:t>
            </w:r>
          </w:p>
        </w:tc>
      </w:tr>
      <w:tr>
        <w:trPr>
          <w:cantSplit/>
        </w:trPr>
        <w:tc>
          <w:tcPr>
            <w:tcW w:type="dxa" w:w="2285"/>
            <w:shd w:fill="FFFFFF"/>
            <w:tcMar>
              <w:top w:w="65" w:type="dxa"/>
              <w:bottom w:w="65" w:type="dxa"/>
              <w:left w:w="100" w:type="dxa"/>
              <w:right w:w="100" w:type="dxa"/>
            </w:tcMar>
          </w:tcPr>
          <w:p>
            <w:pPr>
              <w:spacing w:before="0" w:after="0" w:line="276" w:lineRule="auto"/>
            </w:pPr>
            <w:r>
              <w:rPr>
                <w:rFonts w:ascii="Calibri" w:hAnsi="Calibri"/>
                <w:b/>
                <w:color w:val="222222"/>
                <w:sz w:val="17"/>
              </w:rPr>
              <w:t>Data Validation &amp; Typing</w:t>
            </w:r>
          </w:p>
        </w:tc>
        <w:tc>
          <w:tcPr>
            <w:tcW w:type="dxa" w:w="1769"/>
            <w:shd w:fill="FFFFFF"/>
            <w:tcMar>
              <w:top w:w="65" w:type="dxa"/>
              <w:bottom w:w="65" w:type="dxa"/>
              <w:left w:w="100" w:type="dxa"/>
              <w:right w:w="100" w:type="dxa"/>
            </w:tcMar>
          </w:tcPr>
          <w:p>
            <w:pPr>
              <w:spacing w:before="0" w:after="0" w:line="276" w:lineRule="auto"/>
            </w:pPr>
            <w:r>
              <w:rPr>
                <w:rFonts w:ascii="Calibri" w:hAnsi="Calibri"/>
                <w:b/>
                <w:color w:val="222222"/>
                <w:sz w:val="17"/>
              </w:rPr>
              <w:t>Pydantic</w:t>
            </w:r>
          </w:p>
        </w:tc>
        <w:tc>
          <w:tcPr>
            <w:tcW w:type="dxa" w:w="1621"/>
            <w:shd w:fill="FFFFFF"/>
            <w:tcMar>
              <w:top w:w="65" w:type="dxa"/>
              <w:bottom w:w="65" w:type="dxa"/>
              <w:left w:w="100" w:type="dxa"/>
              <w:right w:w="100" w:type="dxa"/>
            </w:tcMar>
          </w:tcPr>
          <w:p>
            <w:pPr>
              <w:spacing w:before="0" w:after="0" w:line="276" w:lineRule="auto"/>
            </w:pPr>
            <w:r>
              <w:rPr>
                <w:rFonts w:ascii="Consolas" w:hAnsi="Consolas"/>
                <w:color w:val="0D5C75"/>
                <w:sz w:val="16"/>
              </w:rPr>
              <w:t>v2.7+</w:t>
            </w:r>
            <w:r>
              <w:rPr>
                <w:rFonts w:ascii="Calibri" w:hAnsi="Calibri"/>
                <w:color w:val="222222"/>
                <w:sz w:val="17"/>
              </w:rPr>
              <w:t xml:space="preserve"> (Rust core)</w:t>
            </w:r>
          </w:p>
        </w:tc>
        <w:tc>
          <w:tcPr>
            <w:tcW w:type="dxa" w:w="3685"/>
            <w:shd w:fill="FFFFFF"/>
            <w:tcMar>
              <w:top w:w="65" w:type="dxa"/>
              <w:bottom w:w="65" w:type="dxa"/>
              <w:left w:w="100" w:type="dxa"/>
              <w:right w:w="100" w:type="dxa"/>
            </w:tcMar>
          </w:tcPr>
          <w:p>
            <w:pPr>
              <w:spacing w:before="0" w:after="0" w:line="276" w:lineRule="auto"/>
            </w:pPr>
            <w:r>
              <w:rPr>
                <w:rFonts w:ascii="Calibri" w:hAnsi="Calibri"/>
                <w:color w:val="222222"/>
                <w:sz w:val="17"/>
              </w:rPr>
              <w:t>Blazing-fast request payload parsing and validation with strict type enforcement for financial quantities and barcode payloads.</w:t>
            </w:r>
          </w:p>
        </w:tc>
      </w:tr>
      <w:tr>
        <w:trPr>
          <w:cantSplit/>
        </w:trPr>
        <w:tc>
          <w:tcPr>
            <w:tcW w:type="dxa" w:w="2285"/>
            <w:shd w:fill="F8FAFC"/>
            <w:tcMar>
              <w:top w:w="65" w:type="dxa"/>
              <w:bottom w:w="65" w:type="dxa"/>
              <w:left w:w="100" w:type="dxa"/>
              <w:right w:w="100" w:type="dxa"/>
            </w:tcMar>
          </w:tcPr>
          <w:p>
            <w:pPr>
              <w:spacing w:before="0" w:after="0" w:line="276" w:lineRule="auto"/>
            </w:pPr>
            <w:r>
              <w:rPr>
                <w:rFonts w:ascii="Calibri" w:hAnsi="Calibri"/>
                <w:b/>
                <w:color w:val="222222"/>
                <w:sz w:val="17"/>
              </w:rPr>
              <w:t>Database ORM &amp; Driver</w:t>
            </w:r>
          </w:p>
        </w:tc>
        <w:tc>
          <w:tcPr>
            <w:tcW w:type="dxa" w:w="1769"/>
            <w:shd w:fill="F8FAFC"/>
            <w:tcMar>
              <w:top w:w="65" w:type="dxa"/>
              <w:bottom w:w="65" w:type="dxa"/>
              <w:left w:w="100" w:type="dxa"/>
              <w:right w:w="100" w:type="dxa"/>
            </w:tcMar>
          </w:tcPr>
          <w:p>
            <w:pPr>
              <w:spacing w:before="0" w:after="0" w:line="276" w:lineRule="auto"/>
            </w:pPr>
            <w:r>
              <w:rPr>
                <w:rFonts w:ascii="Calibri" w:hAnsi="Calibri"/>
                <w:b/>
                <w:color w:val="222222"/>
                <w:sz w:val="17"/>
              </w:rPr>
              <w:t>SQLAlchemy + asyncpg</w:t>
            </w:r>
          </w:p>
        </w:tc>
        <w:tc>
          <w:tcPr>
            <w:tcW w:type="dxa" w:w="1621"/>
            <w:shd w:fill="F8FAFC"/>
            <w:tcMar>
              <w:top w:w="65" w:type="dxa"/>
              <w:bottom w:w="65" w:type="dxa"/>
              <w:left w:w="100" w:type="dxa"/>
              <w:right w:w="100" w:type="dxa"/>
            </w:tcMar>
          </w:tcPr>
          <w:p>
            <w:pPr>
              <w:spacing w:before="0" w:after="0" w:line="276" w:lineRule="auto"/>
            </w:pPr>
            <w:r>
              <w:rPr>
                <w:rFonts w:ascii="Consolas" w:hAnsi="Consolas"/>
                <w:color w:val="0D5C75"/>
                <w:sz w:val="16"/>
              </w:rPr>
              <w:t>2.0+</w:t>
            </w:r>
            <w:r>
              <w:rPr>
                <w:rFonts w:ascii="Calibri" w:hAnsi="Calibri"/>
                <w:color w:val="222222"/>
                <w:sz w:val="17"/>
              </w:rPr>
              <w:t xml:space="preserve"> / </w:t>
            </w:r>
            <w:r>
              <w:rPr>
                <w:rFonts w:ascii="Consolas" w:hAnsi="Consolas"/>
                <w:color w:val="0D5C75"/>
                <w:sz w:val="16"/>
              </w:rPr>
              <w:t>0.29+</w:t>
            </w:r>
          </w:p>
        </w:tc>
        <w:tc>
          <w:tcPr>
            <w:tcW w:type="dxa" w:w="3685"/>
            <w:shd w:fill="F8FAFC"/>
            <w:tcMar>
              <w:top w:w="65" w:type="dxa"/>
              <w:bottom w:w="65" w:type="dxa"/>
              <w:left w:w="100" w:type="dxa"/>
              <w:right w:w="100" w:type="dxa"/>
            </w:tcMar>
          </w:tcPr>
          <w:p>
            <w:pPr>
              <w:spacing w:before="0" w:after="0" w:line="276" w:lineRule="auto"/>
            </w:pPr>
            <w:r>
              <w:rPr>
                <w:rFonts w:ascii="Calibri" w:hAnsi="Calibri"/>
                <w:color w:val="222222"/>
                <w:sz w:val="17"/>
              </w:rPr>
              <w:t>Asynchronous database access with connection pooling; raw SQL query performance for complex row-locking operations.</w:t>
            </w:r>
          </w:p>
        </w:tc>
      </w:tr>
      <w:tr>
        <w:trPr>
          <w:cantSplit/>
        </w:trPr>
        <w:tc>
          <w:tcPr>
            <w:tcW w:type="dxa" w:w="2285"/>
            <w:shd w:fill="FFFFFF"/>
            <w:tcMar>
              <w:top w:w="65" w:type="dxa"/>
              <w:bottom w:w="65" w:type="dxa"/>
              <w:left w:w="100" w:type="dxa"/>
              <w:right w:w="100" w:type="dxa"/>
            </w:tcMar>
          </w:tcPr>
          <w:p>
            <w:pPr>
              <w:spacing w:before="0" w:after="0" w:line="276" w:lineRule="auto"/>
            </w:pPr>
            <w:r>
              <w:rPr>
                <w:rFonts w:ascii="Calibri" w:hAnsi="Calibri"/>
                <w:b/>
                <w:color w:val="222222"/>
                <w:sz w:val="17"/>
              </w:rPr>
              <w:t>Core Relational Database</w:t>
            </w:r>
          </w:p>
        </w:tc>
        <w:tc>
          <w:tcPr>
            <w:tcW w:type="dxa" w:w="1769"/>
            <w:shd w:fill="FFFFFF"/>
            <w:tcMar>
              <w:top w:w="65" w:type="dxa"/>
              <w:bottom w:w="65" w:type="dxa"/>
              <w:left w:w="100" w:type="dxa"/>
              <w:right w:w="100" w:type="dxa"/>
            </w:tcMar>
          </w:tcPr>
          <w:p>
            <w:pPr>
              <w:spacing w:before="0" w:after="0" w:line="276" w:lineRule="auto"/>
            </w:pPr>
            <w:r>
              <w:rPr>
                <w:rFonts w:ascii="Calibri" w:hAnsi="Calibri"/>
                <w:b/>
                <w:color w:val="222222"/>
                <w:sz w:val="17"/>
              </w:rPr>
              <w:t>PostgreSQL</w:t>
            </w:r>
          </w:p>
        </w:tc>
        <w:tc>
          <w:tcPr>
            <w:tcW w:type="dxa" w:w="1621"/>
            <w:shd w:fill="FFFFFF"/>
            <w:tcMar>
              <w:top w:w="65" w:type="dxa"/>
              <w:bottom w:w="65" w:type="dxa"/>
              <w:left w:w="100" w:type="dxa"/>
              <w:right w:w="100" w:type="dxa"/>
            </w:tcMar>
          </w:tcPr>
          <w:p>
            <w:pPr>
              <w:spacing w:before="0" w:after="0" w:line="276" w:lineRule="auto"/>
            </w:pPr>
            <w:r>
              <w:rPr>
                <w:rFonts w:ascii="Consolas" w:hAnsi="Consolas"/>
                <w:color w:val="0D5C75"/>
                <w:sz w:val="16"/>
              </w:rPr>
              <w:t>16.3</w:t>
            </w:r>
          </w:p>
        </w:tc>
        <w:tc>
          <w:tcPr>
            <w:tcW w:type="dxa" w:w="3685"/>
            <w:shd w:fill="FFFFFF"/>
            <w:tcMar>
              <w:top w:w="65" w:type="dxa"/>
              <w:bottom w:w="65" w:type="dxa"/>
              <w:left w:w="100" w:type="dxa"/>
              <w:right w:w="100" w:type="dxa"/>
            </w:tcMar>
          </w:tcPr>
          <w:p>
            <w:pPr>
              <w:spacing w:before="0" w:after="0" w:line="276" w:lineRule="auto"/>
            </w:pPr>
            <w:r>
              <w:rPr>
                <w:rFonts w:ascii="Calibri" w:hAnsi="Calibri"/>
                <w:color w:val="222222"/>
                <w:sz w:val="17"/>
              </w:rPr>
              <w:t>World-class ACID transaction guarantees, robust row-level locking (</w:t>
            </w:r>
            <w:r>
              <w:rPr>
                <w:rFonts w:ascii="Consolas" w:hAnsi="Consolas"/>
                <w:color w:val="0D5C75"/>
                <w:sz w:val="16"/>
              </w:rPr>
              <w:t>SELECT ... FOR UPDATE</w:t>
            </w:r>
            <w:r>
              <w:rPr>
                <w:rFonts w:ascii="Calibri" w:hAnsi="Calibri"/>
                <w:color w:val="222222"/>
                <w:sz w:val="17"/>
              </w:rPr>
              <w:t>), JSONB column support, and Point-In-Time Recovery (PITR).</w:t>
            </w:r>
          </w:p>
        </w:tc>
      </w:tr>
      <w:tr>
        <w:trPr>
          <w:cantSplit/>
        </w:trPr>
        <w:tc>
          <w:tcPr>
            <w:tcW w:type="dxa" w:w="2285"/>
            <w:shd w:fill="F8FAFC"/>
            <w:tcMar>
              <w:top w:w="65" w:type="dxa"/>
              <w:bottom w:w="65" w:type="dxa"/>
              <w:left w:w="100" w:type="dxa"/>
              <w:right w:w="100" w:type="dxa"/>
            </w:tcMar>
          </w:tcPr>
          <w:p>
            <w:pPr>
              <w:spacing w:before="0" w:after="0" w:line="276" w:lineRule="auto"/>
            </w:pPr>
            <w:r>
              <w:rPr>
                <w:rFonts w:ascii="Calibri" w:hAnsi="Calibri"/>
                <w:b/>
                <w:color w:val="222222"/>
                <w:sz w:val="17"/>
              </w:rPr>
              <w:t>In-Memory Cache &amp; Key-Store</w:t>
            </w:r>
          </w:p>
        </w:tc>
        <w:tc>
          <w:tcPr>
            <w:tcW w:type="dxa" w:w="1769"/>
            <w:shd w:fill="F8FAFC"/>
            <w:tcMar>
              <w:top w:w="65" w:type="dxa"/>
              <w:bottom w:w="65" w:type="dxa"/>
              <w:left w:w="100" w:type="dxa"/>
              <w:right w:w="100" w:type="dxa"/>
            </w:tcMar>
          </w:tcPr>
          <w:p>
            <w:pPr>
              <w:spacing w:before="0" w:after="0" w:line="276" w:lineRule="auto"/>
            </w:pPr>
            <w:r>
              <w:rPr>
                <w:rFonts w:ascii="Calibri" w:hAnsi="Calibri"/>
                <w:b/>
                <w:color w:val="222222"/>
                <w:sz w:val="17"/>
              </w:rPr>
              <w:t>Redis</w:t>
            </w:r>
          </w:p>
        </w:tc>
        <w:tc>
          <w:tcPr>
            <w:tcW w:type="dxa" w:w="1621"/>
            <w:shd w:fill="F8FAFC"/>
            <w:tcMar>
              <w:top w:w="65" w:type="dxa"/>
              <w:bottom w:w="65" w:type="dxa"/>
              <w:left w:w="100" w:type="dxa"/>
              <w:right w:w="100" w:type="dxa"/>
            </w:tcMar>
          </w:tcPr>
          <w:p>
            <w:pPr>
              <w:spacing w:before="0" w:after="0" w:line="276" w:lineRule="auto"/>
            </w:pPr>
            <w:r>
              <w:rPr>
                <w:rFonts w:ascii="Consolas" w:hAnsi="Consolas"/>
                <w:color w:val="0D5C75"/>
                <w:sz w:val="16"/>
              </w:rPr>
              <w:t>7.2</w:t>
            </w:r>
          </w:p>
        </w:tc>
        <w:tc>
          <w:tcPr>
            <w:tcW w:type="dxa" w:w="3685"/>
            <w:shd w:fill="F8FAFC"/>
            <w:tcMar>
              <w:top w:w="65" w:type="dxa"/>
              <w:bottom w:w="65" w:type="dxa"/>
              <w:left w:w="100" w:type="dxa"/>
              <w:right w:w="100" w:type="dxa"/>
            </w:tcMar>
          </w:tcPr>
          <w:p>
            <w:pPr>
              <w:spacing w:before="0" w:after="0" w:line="276" w:lineRule="auto"/>
            </w:pPr>
            <w:r>
              <w:rPr>
                <w:rFonts w:ascii="Calibri" w:hAnsi="Calibri"/>
                <w:color w:val="222222"/>
                <w:sz w:val="17"/>
              </w:rPr>
              <w:t>Ultra-fast in-memory key-value store for API rate-limiting, idempotency tokens (</w:t>
            </w:r>
            <w:r>
              <w:rPr>
                <w:rFonts w:ascii="Consolas" w:hAnsi="Consolas"/>
                <w:color w:val="0D5C75"/>
                <w:sz w:val="16"/>
              </w:rPr>
              <w:t>X-Idempotency-Key</w:t>
            </w:r>
            <w:r>
              <w:rPr>
                <w:rFonts w:ascii="Calibri" w:hAnsi="Calibri"/>
                <w:color w:val="222222"/>
                <w:sz w:val="17"/>
              </w:rPr>
              <w:t>), and ephemeral session storage.</w:t>
            </w:r>
          </w:p>
        </w:tc>
      </w:tr>
      <w:tr>
        <w:trPr>
          <w:cantSplit/>
        </w:trPr>
        <w:tc>
          <w:tcPr>
            <w:tcW w:type="dxa" w:w="2285"/>
            <w:shd w:fill="FFFFFF"/>
            <w:tcMar>
              <w:top w:w="65" w:type="dxa"/>
              <w:bottom w:w="65" w:type="dxa"/>
              <w:left w:w="100" w:type="dxa"/>
              <w:right w:w="100" w:type="dxa"/>
            </w:tcMar>
          </w:tcPr>
          <w:p>
            <w:pPr>
              <w:spacing w:before="0" w:after="0" w:line="276" w:lineRule="auto"/>
            </w:pPr>
            <w:r>
              <w:rPr>
                <w:rFonts w:ascii="Calibri" w:hAnsi="Calibri"/>
                <w:b/>
                <w:color w:val="222222"/>
                <w:sz w:val="17"/>
              </w:rPr>
              <w:t>Replenishment Algorithms</w:t>
            </w:r>
          </w:p>
        </w:tc>
        <w:tc>
          <w:tcPr>
            <w:tcW w:type="dxa" w:w="1769"/>
            <w:shd w:fill="FFFFFF"/>
            <w:tcMar>
              <w:top w:w="65" w:type="dxa"/>
              <w:bottom w:w="65" w:type="dxa"/>
              <w:left w:w="100" w:type="dxa"/>
              <w:right w:w="100" w:type="dxa"/>
            </w:tcMar>
          </w:tcPr>
          <w:p>
            <w:pPr>
              <w:spacing w:before="0" w:after="0" w:line="276" w:lineRule="auto"/>
            </w:pPr>
            <w:r>
              <w:rPr>
                <w:rFonts w:ascii="Calibri" w:hAnsi="Calibri"/>
                <w:b/>
                <w:color w:val="222222"/>
                <w:sz w:val="17"/>
              </w:rPr>
              <w:t>NumPy / SciPy</w:t>
            </w:r>
          </w:p>
        </w:tc>
        <w:tc>
          <w:tcPr>
            <w:tcW w:type="dxa" w:w="1621"/>
            <w:shd w:fill="FFFFFF"/>
            <w:tcMar>
              <w:top w:w="65" w:type="dxa"/>
              <w:bottom w:w="65" w:type="dxa"/>
              <w:left w:w="100" w:type="dxa"/>
              <w:right w:w="100" w:type="dxa"/>
            </w:tcMar>
          </w:tcPr>
          <w:p>
            <w:pPr>
              <w:spacing w:before="0" w:after="0" w:line="276" w:lineRule="auto"/>
            </w:pPr>
            <w:r>
              <w:rPr>
                <w:rFonts w:ascii="Consolas" w:hAnsi="Consolas"/>
                <w:color w:val="0D5C75"/>
                <w:sz w:val="16"/>
              </w:rPr>
              <w:t>1.26+</w:t>
            </w:r>
            <w:r>
              <w:rPr>
                <w:rFonts w:ascii="Calibri" w:hAnsi="Calibri"/>
                <w:color w:val="222222"/>
                <w:sz w:val="17"/>
              </w:rPr>
              <w:t xml:space="preserve"> / </w:t>
            </w:r>
            <w:r>
              <w:rPr>
                <w:rFonts w:ascii="Consolas" w:hAnsi="Consolas"/>
                <w:color w:val="0D5C75"/>
                <w:sz w:val="16"/>
              </w:rPr>
              <w:t>1.13+</w:t>
            </w:r>
          </w:p>
        </w:tc>
        <w:tc>
          <w:tcPr>
            <w:tcW w:type="dxa" w:w="3685"/>
            <w:shd w:fill="FFFFFF"/>
            <w:tcMar>
              <w:top w:w="65" w:type="dxa"/>
              <w:bottom w:w="65" w:type="dxa"/>
              <w:left w:w="100" w:type="dxa"/>
              <w:right w:w="100" w:type="dxa"/>
            </w:tcMar>
          </w:tcPr>
          <w:p>
            <w:pPr>
              <w:spacing w:before="0" w:after="0" w:line="276" w:lineRule="auto"/>
            </w:pPr>
            <w:r>
              <w:rPr>
                <w:rFonts w:ascii="Calibri" w:hAnsi="Calibri"/>
                <w:color w:val="222222"/>
                <w:sz w:val="17"/>
              </w:rPr>
              <w:t>High-precision vector math for calculating Greasley's dual-variance safety stock and statistical Z-score quantiles.</w:t>
            </w:r>
          </w:p>
        </w:tc>
      </w:tr>
      <w:tr>
        <w:trPr>
          <w:cantSplit/>
        </w:trPr>
        <w:tc>
          <w:tcPr>
            <w:tcW w:type="dxa" w:w="2285"/>
            <w:shd w:fill="F8FAFC"/>
            <w:tcMar>
              <w:top w:w="65" w:type="dxa"/>
              <w:bottom w:w="65" w:type="dxa"/>
              <w:left w:w="100" w:type="dxa"/>
              <w:right w:w="100" w:type="dxa"/>
            </w:tcMar>
          </w:tcPr>
          <w:p>
            <w:pPr>
              <w:spacing w:before="0" w:after="0" w:line="276" w:lineRule="auto"/>
            </w:pPr>
            <w:r>
              <w:rPr>
                <w:rFonts w:ascii="Calibri" w:hAnsi="Calibri"/>
                <w:b/>
                <w:color w:val="222222"/>
                <w:sz w:val="17"/>
              </w:rPr>
              <w:t>Shrinkage Anomaly Detection</w:t>
            </w:r>
          </w:p>
        </w:tc>
        <w:tc>
          <w:tcPr>
            <w:tcW w:type="dxa" w:w="1769"/>
            <w:shd w:fill="F8FAFC"/>
            <w:tcMar>
              <w:top w:w="65" w:type="dxa"/>
              <w:bottom w:w="65" w:type="dxa"/>
              <w:left w:w="100" w:type="dxa"/>
              <w:right w:w="100" w:type="dxa"/>
            </w:tcMar>
          </w:tcPr>
          <w:p>
            <w:pPr>
              <w:spacing w:before="0" w:after="0" w:line="276" w:lineRule="auto"/>
            </w:pPr>
            <w:r>
              <w:rPr>
                <w:rFonts w:ascii="Calibri" w:hAnsi="Calibri"/>
                <w:b/>
                <w:color w:val="222222"/>
                <w:sz w:val="17"/>
              </w:rPr>
              <w:t>Scikit-learn</w:t>
            </w:r>
          </w:p>
        </w:tc>
        <w:tc>
          <w:tcPr>
            <w:tcW w:type="dxa" w:w="1621"/>
            <w:shd w:fill="F8FAFC"/>
            <w:tcMar>
              <w:top w:w="65" w:type="dxa"/>
              <w:bottom w:w="65" w:type="dxa"/>
              <w:left w:w="100" w:type="dxa"/>
              <w:right w:w="100" w:type="dxa"/>
            </w:tcMar>
          </w:tcPr>
          <w:p>
            <w:pPr>
              <w:spacing w:before="0" w:after="0" w:line="276" w:lineRule="auto"/>
            </w:pPr>
            <w:r>
              <w:rPr>
                <w:rFonts w:ascii="Consolas" w:hAnsi="Consolas"/>
                <w:color w:val="0D5C75"/>
                <w:sz w:val="16"/>
              </w:rPr>
              <w:t>1.4+</w:t>
            </w:r>
          </w:p>
        </w:tc>
        <w:tc>
          <w:tcPr>
            <w:tcW w:type="dxa" w:w="3685"/>
            <w:shd w:fill="F8FAFC"/>
            <w:tcMar>
              <w:top w:w="65" w:type="dxa"/>
              <w:bottom w:w="65" w:type="dxa"/>
              <w:left w:w="100" w:type="dxa"/>
              <w:right w:w="100" w:type="dxa"/>
            </w:tcMar>
          </w:tcPr>
          <w:p>
            <w:pPr>
              <w:spacing w:before="0" w:after="0" w:line="276" w:lineRule="auto"/>
            </w:pPr>
            <w:r>
              <w:rPr>
                <w:rFonts w:ascii="Calibri" w:hAnsi="Calibri"/>
                <w:color w:val="222222"/>
                <w:sz w:val="17"/>
              </w:rPr>
              <w:t xml:space="preserve">Unsupervised </w:t>
            </w:r>
            <w:r>
              <w:rPr>
                <w:rFonts w:ascii="Consolas" w:hAnsi="Consolas"/>
                <w:color w:val="0D5C75"/>
                <w:sz w:val="16"/>
              </w:rPr>
              <w:t>IsolationForest</w:t>
            </w:r>
            <w:r>
              <w:rPr>
                <w:rFonts w:ascii="Calibri" w:hAnsi="Calibri"/>
                <w:color w:val="222222"/>
                <w:sz w:val="17"/>
              </w:rPr>
              <w:t xml:space="preserve"> model to detect anomalous stock discrepancy clusters across shifts and zones.</w:t>
            </w:r>
          </w:p>
        </w:tc>
      </w:tr>
      <w:tr>
        <w:trPr>
          <w:cantSplit/>
        </w:trPr>
        <w:tc>
          <w:tcPr>
            <w:tcW w:type="dxa" w:w="2285"/>
            <w:shd w:fill="FFFFFF"/>
            <w:tcMar>
              <w:top w:w="65" w:type="dxa"/>
              <w:bottom w:w="65" w:type="dxa"/>
              <w:left w:w="100" w:type="dxa"/>
              <w:right w:w="100" w:type="dxa"/>
            </w:tcMar>
          </w:tcPr>
          <w:p>
            <w:pPr>
              <w:spacing w:before="0" w:after="0" w:line="276" w:lineRule="auto"/>
            </w:pPr>
            <w:r>
              <w:rPr>
                <w:rFonts w:ascii="Calibri" w:hAnsi="Calibri"/>
                <w:b/>
                <w:color w:val="222222"/>
                <w:sz w:val="17"/>
              </w:rPr>
              <w:t>Reverse Proxy &amp; Gateway</w:t>
            </w:r>
          </w:p>
        </w:tc>
        <w:tc>
          <w:tcPr>
            <w:tcW w:type="dxa" w:w="1769"/>
            <w:shd w:fill="FFFFFF"/>
            <w:tcMar>
              <w:top w:w="65" w:type="dxa"/>
              <w:bottom w:w="65" w:type="dxa"/>
              <w:left w:w="100" w:type="dxa"/>
              <w:right w:w="100" w:type="dxa"/>
            </w:tcMar>
          </w:tcPr>
          <w:p>
            <w:pPr>
              <w:spacing w:before="0" w:after="0" w:line="276" w:lineRule="auto"/>
            </w:pPr>
            <w:r>
              <w:rPr>
                <w:rFonts w:ascii="Calibri" w:hAnsi="Calibri"/>
                <w:b/>
                <w:color w:val="222222"/>
                <w:sz w:val="17"/>
              </w:rPr>
              <w:t>Nginx</w:t>
            </w:r>
          </w:p>
        </w:tc>
        <w:tc>
          <w:tcPr>
            <w:tcW w:type="dxa" w:w="1621"/>
            <w:shd w:fill="FFFFFF"/>
            <w:tcMar>
              <w:top w:w="65" w:type="dxa"/>
              <w:bottom w:w="65" w:type="dxa"/>
              <w:left w:w="100" w:type="dxa"/>
              <w:right w:w="100" w:type="dxa"/>
            </w:tcMar>
          </w:tcPr>
          <w:p>
            <w:pPr>
              <w:spacing w:before="0" w:after="0" w:line="276" w:lineRule="auto"/>
            </w:pPr>
            <w:r>
              <w:rPr>
                <w:rFonts w:ascii="Consolas" w:hAnsi="Consolas"/>
                <w:color w:val="0D5C75"/>
                <w:sz w:val="16"/>
              </w:rPr>
              <w:t>1.26 (Alpine)</w:t>
            </w:r>
          </w:p>
        </w:tc>
        <w:tc>
          <w:tcPr>
            <w:tcW w:type="dxa" w:w="3685"/>
            <w:shd w:fill="FFFFFF"/>
            <w:tcMar>
              <w:top w:w="65" w:type="dxa"/>
              <w:bottom w:w="65" w:type="dxa"/>
              <w:left w:w="100" w:type="dxa"/>
              <w:right w:w="100" w:type="dxa"/>
            </w:tcMar>
          </w:tcPr>
          <w:p>
            <w:pPr>
              <w:spacing w:before="0" w:after="0" w:line="276" w:lineRule="auto"/>
            </w:pPr>
            <w:r>
              <w:rPr>
                <w:rFonts w:ascii="Calibri" w:hAnsi="Calibri"/>
                <w:color w:val="222222"/>
                <w:sz w:val="17"/>
              </w:rPr>
              <w:t>High-performance reverse proxy handling TLS 1.3 termination, gzip compression, static asset serving, and request rate-limiting.</w:t>
            </w:r>
          </w:p>
        </w:tc>
      </w:tr>
      <w:tr>
        <w:trPr>
          <w:cantSplit/>
        </w:trPr>
        <w:tc>
          <w:tcPr>
            <w:tcW w:type="dxa" w:w="2285"/>
            <w:shd w:fill="F8FAFC"/>
            <w:tcMar>
              <w:top w:w="65" w:type="dxa"/>
              <w:bottom w:w="65" w:type="dxa"/>
              <w:left w:w="100" w:type="dxa"/>
              <w:right w:w="100" w:type="dxa"/>
            </w:tcMar>
          </w:tcPr>
          <w:p>
            <w:pPr>
              <w:spacing w:before="0" w:after="0" w:line="276" w:lineRule="auto"/>
            </w:pPr>
            <w:r>
              <w:rPr>
                <w:rFonts w:ascii="Calibri" w:hAnsi="Calibri"/>
                <w:b/>
                <w:color w:val="222222"/>
                <w:sz w:val="17"/>
              </w:rPr>
              <w:t>Containerization</w:t>
            </w:r>
          </w:p>
        </w:tc>
        <w:tc>
          <w:tcPr>
            <w:tcW w:type="dxa" w:w="1769"/>
            <w:shd w:fill="F8FAFC"/>
            <w:tcMar>
              <w:top w:w="65" w:type="dxa"/>
              <w:bottom w:w="65" w:type="dxa"/>
              <w:left w:w="100" w:type="dxa"/>
              <w:right w:w="100" w:type="dxa"/>
            </w:tcMar>
          </w:tcPr>
          <w:p>
            <w:pPr>
              <w:spacing w:before="0" w:after="0" w:line="276" w:lineRule="auto"/>
            </w:pPr>
            <w:r>
              <w:rPr>
                <w:rFonts w:ascii="Calibri" w:hAnsi="Calibri"/>
                <w:b/>
                <w:color w:val="222222"/>
                <w:sz w:val="17"/>
              </w:rPr>
              <w:t>Docker &amp; Compose</w:t>
            </w:r>
          </w:p>
        </w:tc>
        <w:tc>
          <w:tcPr>
            <w:tcW w:type="dxa" w:w="1621"/>
            <w:shd w:fill="F8FAFC"/>
            <w:tcMar>
              <w:top w:w="65" w:type="dxa"/>
              <w:bottom w:w="65" w:type="dxa"/>
              <w:left w:w="100" w:type="dxa"/>
              <w:right w:w="100" w:type="dxa"/>
            </w:tcMar>
          </w:tcPr>
          <w:p>
            <w:pPr>
              <w:spacing w:before="0" w:after="0" w:line="276" w:lineRule="auto"/>
            </w:pPr>
            <w:r>
              <w:rPr>
                <w:rFonts w:ascii="Consolas" w:hAnsi="Consolas"/>
                <w:color w:val="0D5C75"/>
                <w:sz w:val="16"/>
              </w:rPr>
              <w:t>26.0+</w:t>
            </w:r>
            <w:r>
              <w:rPr>
                <w:rFonts w:ascii="Calibri" w:hAnsi="Calibri"/>
                <w:color w:val="222222"/>
                <w:sz w:val="17"/>
              </w:rPr>
              <w:t xml:space="preserve"> / </w:t>
            </w:r>
            <w:r>
              <w:rPr>
                <w:rFonts w:ascii="Consolas" w:hAnsi="Consolas"/>
                <w:color w:val="0D5C75"/>
                <w:sz w:val="16"/>
              </w:rPr>
              <w:t>v2.27+</w:t>
            </w:r>
          </w:p>
        </w:tc>
        <w:tc>
          <w:tcPr>
            <w:tcW w:type="dxa" w:w="3685"/>
            <w:shd w:fill="F8FAFC"/>
            <w:tcMar>
              <w:top w:w="65" w:type="dxa"/>
              <w:bottom w:w="65" w:type="dxa"/>
              <w:left w:w="100" w:type="dxa"/>
              <w:right w:w="100" w:type="dxa"/>
            </w:tcMar>
          </w:tcPr>
          <w:p>
            <w:pPr>
              <w:spacing w:before="0" w:after="0" w:line="276" w:lineRule="auto"/>
            </w:pPr>
            <w:r>
              <w:rPr>
                <w:rFonts w:ascii="Calibri" w:hAnsi="Calibri"/>
                <w:color w:val="222222"/>
                <w:sz w:val="17"/>
              </w:rPr>
              <w:t>Guaranteed development-to-production parity; single-command local multi-container spin-up (</w:t>
            </w:r>
            <w:r>
              <w:rPr>
                <w:rFonts w:ascii="Consolas" w:hAnsi="Consolas"/>
                <w:color w:val="0D5C75"/>
                <w:sz w:val="16"/>
              </w:rPr>
              <w:t>docker compose up -d</w:t>
            </w:r>
            <w:r>
              <w:rPr>
                <w:rFonts w:ascii="Calibri" w:hAnsi="Calibri"/>
                <w:color w:val="222222"/>
                <w:sz w:val="17"/>
              </w:rPr>
              <w:t>).</w:t>
            </w:r>
          </w:p>
        </w:tc>
      </w:tr>
      <w:tr>
        <w:trPr>
          <w:cantSplit/>
        </w:trPr>
        <w:tc>
          <w:tcPr>
            <w:tcW w:type="dxa" w:w="2285"/>
            <w:shd w:fill="FFFFFF"/>
            <w:tcMar>
              <w:top w:w="65" w:type="dxa"/>
              <w:bottom w:w="65" w:type="dxa"/>
              <w:left w:w="100" w:type="dxa"/>
              <w:right w:w="100" w:type="dxa"/>
            </w:tcMar>
          </w:tcPr>
          <w:p>
            <w:pPr>
              <w:spacing w:before="0" w:after="0" w:line="276" w:lineRule="auto"/>
            </w:pPr>
            <w:r>
              <w:rPr>
                <w:rFonts w:ascii="Calibri" w:hAnsi="Calibri"/>
                <w:b/>
                <w:color w:val="222222"/>
                <w:sz w:val="17"/>
              </w:rPr>
              <w:t>Concurrency Load Testing</w:t>
            </w:r>
          </w:p>
        </w:tc>
        <w:tc>
          <w:tcPr>
            <w:tcW w:type="dxa" w:w="1769"/>
            <w:shd w:fill="FFFFFF"/>
            <w:tcMar>
              <w:top w:w="65" w:type="dxa"/>
              <w:bottom w:w="65" w:type="dxa"/>
              <w:left w:w="100" w:type="dxa"/>
              <w:right w:w="100" w:type="dxa"/>
            </w:tcMar>
          </w:tcPr>
          <w:p>
            <w:pPr>
              <w:spacing w:before="0" w:after="0" w:line="276" w:lineRule="auto"/>
            </w:pPr>
            <w:r>
              <w:rPr>
                <w:rFonts w:ascii="Calibri" w:hAnsi="Calibri"/>
                <w:b/>
                <w:color w:val="222222"/>
                <w:sz w:val="17"/>
              </w:rPr>
              <w:t>Locust</w:t>
            </w:r>
          </w:p>
        </w:tc>
        <w:tc>
          <w:tcPr>
            <w:tcW w:type="dxa" w:w="1621"/>
            <w:shd w:fill="FFFFFF"/>
            <w:tcMar>
              <w:top w:w="65" w:type="dxa"/>
              <w:bottom w:w="65" w:type="dxa"/>
              <w:left w:w="100" w:type="dxa"/>
              <w:right w:w="100" w:type="dxa"/>
            </w:tcMar>
          </w:tcPr>
          <w:p>
            <w:pPr>
              <w:spacing w:before="0" w:after="0" w:line="276" w:lineRule="auto"/>
            </w:pPr>
            <w:r>
              <w:rPr>
                <w:rFonts w:ascii="Consolas" w:hAnsi="Consolas"/>
                <w:color w:val="0D5C75"/>
                <w:sz w:val="16"/>
              </w:rPr>
              <w:t>2.28+</w:t>
            </w:r>
          </w:p>
        </w:tc>
        <w:tc>
          <w:tcPr>
            <w:tcW w:type="dxa" w:w="3685"/>
            <w:shd w:fill="FFFFFF"/>
            <w:tcMar>
              <w:top w:w="65" w:type="dxa"/>
              <w:bottom w:w="65" w:type="dxa"/>
              <w:left w:w="100" w:type="dxa"/>
              <w:right w:w="100" w:type="dxa"/>
            </w:tcMar>
          </w:tcPr>
          <w:p>
            <w:pPr>
              <w:spacing w:before="0" w:after="0" w:line="276" w:lineRule="auto"/>
            </w:pPr>
            <w:r>
              <w:rPr>
                <w:rFonts w:ascii="Calibri" w:hAnsi="Calibri"/>
                <w:color w:val="222222"/>
                <w:sz w:val="17"/>
              </w:rPr>
              <w:t>Distributed Python-based load testing simulating 50+ concurrent cashier POS deductions to prove sub-2.0s SLA compliance.</w:t>
            </w:r>
          </w:p>
        </w:tc>
      </w:tr>
    </w:tbl>
    <w:p>
      <w:pPr>
        <w:spacing w:before="0" w:after="120"/>
      </w:pPr>
    </w:p>
    <w:p>
      <w:pPr>
        <w:spacing w:before="80" w:after="160"/>
        <w:pBdr>
          <w:bottom w:val="single" w:sz="6" w:space="1" w:color="CBD5E1"/>
        </w:pBdr>
      </w:pPr>
    </w:p>
    <w:p>
      <w:pPr>
        <w:keepNext/>
        <w:spacing w:before="280" w:after="80"/>
      </w:pPr>
      <w:r>
        <w:rPr>
          <w:rFonts w:ascii="Calibri" w:hAnsi="Calibri"/>
          <w:b/>
          <w:color w:val="1B365D"/>
          <w:sz w:val="26"/>
        </w:rPr>
        <w:t>2. Architecture Decision Records (ADRs)</w:t>
      </w:r>
    </w:p>
    <w:p>
      <w:pPr>
        <w:keepNext/>
        <w:spacing w:before="200" w:after="60"/>
      </w:pPr>
      <w:r>
        <w:rPr>
          <w:rFonts w:ascii="Calibri" w:hAnsi="Calibri"/>
          <w:b/>
          <w:color w:val="2B4C7E"/>
          <w:sz w:val="22"/>
        </w:rPr>
        <w:t>ADR-01: Relational PostgreSQL vs. NoSQL MongoDB</w:t>
      </w:r>
    </w:p>
    <w:p>
      <w:pPr>
        <w:pStyle w:val="ListBullet"/>
        <w:spacing w:before="20" w:after="50" w:line="276" w:lineRule="auto"/>
      </w:pPr>
      <w:r>
        <w:rPr>
          <w:rFonts w:ascii="Calibri" w:hAnsi="Calibri"/>
          <w:b/>
          <w:color w:val="222222"/>
          <w:sz w:val="19"/>
        </w:rPr>
        <w:t>Status:</w:t>
      </w:r>
      <w:r>
        <w:rPr>
          <w:rFonts w:ascii="Calibri" w:hAnsi="Calibri"/>
          <w:color w:val="222222"/>
          <w:sz w:val="19"/>
        </w:rPr>
        <w:t xml:space="preserve"> </w:t>
      </w:r>
      <w:r>
        <w:rPr>
          <w:rFonts w:ascii="Calibri" w:hAnsi="Calibri"/>
          <w:b/>
          <w:color w:val="222222"/>
          <w:sz w:val="19"/>
        </w:rPr>
        <w:t>ACCEPTED</w:t>
      </w:r>
    </w:p>
    <w:p>
      <w:pPr>
        <w:pStyle w:val="ListBullet"/>
        <w:spacing w:before="20" w:after="50" w:line="276" w:lineRule="auto"/>
      </w:pPr>
      <w:r>
        <w:rPr>
          <w:rFonts w:ascii="Calibri" w:hAnsi="Calibri"/>
          <w:b/>
          <w:color w:val="222222"/>
          <w:sz w:val="19"/>
        </w:rPr>
        <w:t>Context:</w:t>
      </w:r>
      <w:r>
        <w:rPr>
          <w:rFonts w:ascii="Calibri" w:hAnsi="Calibri"/>
          <w:color w:val="222222"/>
          <w:sz w:val="19"/>
        </w:rPr>
        <w:t xml:space="preserve"> The system manages physical inventory, financial purchase orders, supplier credit notes, and store billing transactions.</w:t>
      </w:r>
    </w:p>
    <w:p>
      <w:pPr>
        <w:pStyle w:val="ListBullet"/>
        <w:spacing w:before="20" w:after="50" w:line="276" w:lineRule="auto"/>
      </w:pPr>
      <w:r>
        <w:rPr>
          <w:rFonts w:ascii="Calibri" w:hAnsi="Calibri"/>
          <w:b/>
          <w:color w:val="222222"/>
          <w:sz w:val="19"/>
        </w:rPr>
        <w:t>Decision:</w:t>
      </w:r>
      <w:r>
        <w:rPr>
          <w:rFonts w:ascii="Calibri" w:hAnsi="Calibri"/>
          <w:color w:val="222222"/>
          <w:sz w:val="19"/>
        </w:rPr>
        <w:t xml:space="preserve"> We select </w:t>
      </w:r>
      <w:r>
        <w:rPr>
          <w:rFonts w:ascii="Calibri" w:hAnsi="Calibri"/>
          <w:b/>
          <w:color w:val="222222"/>
          <w:sz w:val="19"/>
        </w:rPr>
        <w:t>PostgreSQL 16</w:t>
      </w:r>
      <w:r>
        <w:rPr>
          <w:rFonts w:ascii="Calibri" w:hAnsi="Calibri"/>
          <w:color w:val="222222"/>
          <w:sz w:val="19"/>
        </w:rPr>
        <w:t xml:space="preserve"> as the core database engine instead of a NoSQL document database (like MongoDB).</w:t>
      </w:r>
    </w:p>
    <w:p>
      <w:pPr>
        <w:pStyle w:val="ListBullet"/>
        <w:spacing w:before="20" w:after="50" w:line="276" w:lineRule="auto"/>
      </w:pPr>
      <w:r>
        <w:rPr>
          <w:rFonts w:ascii="Calibri" w:hAnsi="Calibri"/>
          <w:b/>
          <w:color w:val="222222"/>
          <w:sz w:val="19"/>
        </w:rPr>
        <w:t>Rationale:</w:t>
      </w:r>
    </w:p>
    <w:p>
      <w:pPr>
        <w:pStyle w:val="ListNumber"/>
        <w:spacing w:before="20" w:after="50" w:line="276" w:lineRule="auto"/>
      </w:pPr>
      <w:r>
        <w:rPr>
          <w:rFonts w:ascii="Calibri" w:hAnsi="Calibri"/>
          <w:i/>
          <w:color w:val="222222"/>
          <w:sz w:val="19"/>
        </w:rPr>
        <w:t>ACID Compliance &amp; Ledger Integrity:</w:t>
      </w:r>
      <w:r>
        <w:rPr>
          <w:rFonts w:ascii="Calibri" w:hAnsi="Calibri"/>
          <w:color w:val="222222"/>
          <w:sz w:val="19"/>
        </w:rPr>
        <w:t xml:space="preserve"> A warehouse and POS system requires strict ACID properties. Stock deduction and financial ledger updates cannot afford eventual consistency anomalies where units "disappear" or negative stock is accepted.</w:t>
      </w:r>
    </w:p>
    <w:p>
      <w:pPr>
        <w:pStyle w:val="ListNumber"/>
        <w:spacing w:before="20" w:after="50" w:line="276" w:lineRule="auto"/>
      </w:pPr>
      <w:r>
        <w:rPr>
          <w:rFonts w:ascii="Calibri" w:hAnsi="Calibri"/>
          <w:i/>
          <w:color w:val="222222"/>
          <w:sz w:val="19"/>
        </w:rPr>
        <w:t>Relational Constraints:</w:t>
      </w:r>
      <w:r>
        <w:rPr>
          <w:rFonts w:ascii="Calibri" w:hAnsi="Calibri"/>
          <w:color w:val="222222"/>
          <w:sz w:val="19"/>
        </w:rPr>
        <w:t xml:space="preserve"> Enforcing referential integrity (e.g., preventing deletion of an active SKU when inventory batches exist via </w:t>
      </w:r>
      <w:r>
        <w:rPr>
          <w:rFonts w:ascii="Consolas" w:hAnsi="Consolas"/>
          <w:color w:val="0D5C75"/>
          <w:sz w:val="18"/>
        </w:rPr>
        <w:t>ON DELETE RESTRICT</w:t>
      </w:r>
      <w:r>
        <w:rPr>
          <w:rFonts w:ascii="Calibri" w:hAnsi="Calibri"/>
          <w:color w:val="222222"/>
          <w:sz w:val="19"/>
        </w:rPr>
        <w:t>) is handled natively by the database engine, preventing orphaned records.</w:t>
      </w:r>
    </w:p>
    <w:p>
      <w:pPr>
        <w:pStyle w:val="ListNumber"/>
        <w:spacing w:before="20" w:after="50" w:line="276" w:lineRule="auto"/>
      </w:pPr>
      <w:r>
        <w:rPr>
          <w:rFonts w:ascii="Calibri" w:hAnsi="Calibri"/>
          <w:i/>
          <w:color w:val="222222"/>
          <w:sz w:val="19"/>
        </w:rPr>
        <w:t>Row-Level Locking:</w:t>
      </w:r>
      <w:r>
        <w:rPr>
          <w:rFonts w:ascii="Calibri" w:hAnsi="Calibri"/>
          <w:color w:val="222222"/>
          <w:sz w:val="19"/>
        </w:rPr>
        <w:t xml:space="preserve"> PostgreSQL offers world-class row-level locking (</w:t>
      </w:r>
      <w:r>
        <w:rPr>
          <w:rFonts w:ascii="Consolas" w:hAnsi="Consolas"/>
          <w:color w:val="0D5C75"/>
          <w:sz w:val="18"/>
        </w:rPr>
        <w:t>SELECT ... FOR UPDATE</w:t>
      </w:r>
      <w:r>
        <w:rPr>
          <w:rFonts w:ascii="Calibri" w:hAnsi="Calibri"/>
          <w:color w:val="222222"/>
          <w:sz w:val="19"/>
        </w:rPr>
        <w:t>) essential for resolving concurrent cashier checkouts.</w:t>
      </w:r>
    </w:p>
    <w:p>
      <w:pPr>
        <w:pStyle w:val="ListBullet"/>
        <w:spacing w:before="20" w:after="50" w:line="276" w:lineRule="auto"/>
      </w:pPr>
      <w:r>
        <w:rPr>
          <w:rFonts w:ascii="Calibri" w:hAnsi="Calibri"/>
          <w:b/>
          <w:color w:val="222222"/>
          <w:sz w:val="19"/>
        </w:rPr>
        <w:t>Consequences:</w:t>
      </w:r>
      <w:r>
        <w:rPr>
          <w:rFonts w:ascii="Calibri" w:hAnsi="Calibri"/>
          <w:color w:val="222222"/>
          <w:sz w:val="19"/>
        </w:rPr>
        <w:t xml:space="preserve"> Schema changes require structured migrations (via Alembic). Horizontal sharding is more complex than NoSQL, but acceptable given that a single normalized PostgreSQL instance with B-Tree indexes easily supports tens of millions of records.</w:t>
      </w:r>
    </w:p>
    <w:p>
      <w:pPr>
        <w:spacing w:before="80" w:after="160"/>
        <w:pBdr>
          <w:bottom w:val="single" w:sz="6" w:space="1" w:color="CBD5E1"/>
        </w:pBdr>
      </w:pPr>
    </w:p>
    <w:p>
      <w:pPr>
        <w:keepNext/>
        <w:spacing w:before="200" w:after="60"/>
      </w:pPr>
      <w:r>
        <w:rPr>
          <w:rFonts w:ascii="Calibri" w:hAnsi="Calibri"/>
          <w:b/>
          <w:color w:val="2B4C7E"/>
          <w:sz w:val="22"/>
        </w:rPr>
        <w:t>ADR-02: Pessimistic Row-Level Locking vs. Optimistic Concurrency Control</w:t>
      </w:r>
    </w:p>
    <w:p>
      <w:pPr>
        <w:pStyle w:val="ListBullet"/>
        <w:spacing w:before="20" w:after="50" w:line="276" w:lineRule="auto"/>
      </w:pPr>
      <w:r>
        <w:rPr>
          <w:rFonts w:ascii="Calibri" w:hAnsi="Calibri"/>
          <w:b/>
          <w:color w:val="222222"/>
          <w:sz w:val="19"/>
        </w:rPr>
        <w:t>Status:</w:t>
      </w:r>
      <w:r>
        <w:rPr>
          <w:rFonts w:ascii="Calibri" w:hAnsi="Calibri"/>
          <w:color w:val="222222"/>
          <w:sz w:val="19"/>
        </w:rPr>
        <w:t xml:space="preserve"> </w:t>
      </w:r>
      <w:r>
        <w:rPr>
          <w:rFonts w:ascii="Calibri" w:hAnsi="Calibri"/>
          <w:b/>
          <w:color w:val="222222"/>
          <w:sz w:val="19"/>
        </w:rPr>
        <w:t>ACCEPTED</w:t>
      </w:r>
    </w:p>
    <w:p>
      <w:pPr>
        <w:pStyle w:val="ListBullet"/>
        <w:spacing w:before="20" w:after="50" w:line="276" w:lineRule="auto"/>
      </w:pPr>
      <w:r>
        <w:rPr>
          <w:rFonts w:ascii="Calibri" w:hAnsi="Calibri"/>
          <w:b/>
          <w:color w:val="222222"/>
          <w:sz w:val="19"/>
        </w:rPr>
        <w:t>Context:</w:t>
      </w:r>
      <w:r>
        <w:rPr>
          <w:rFonts w:ascii="Calibri" w:hAnsi="Calibri"/>
          <w:color w:val="222222"/>
          <w:sz w:val="19"/>
        </w:rPr>
        <w:t xml:space="preserve"> High-velocity FMCG items (e.g., 1-Litre Soyabean Oil, Milk Vita cartons) experience multiple simultaneous checkout deductions across different retail registers.</w:t>
      </w:r>
    </w:p>
    <w:p>
      <w:pPr>
        <w:pStyle w:val="ListBullet"/>
        <w:spacing w:before="20" w:after="50" w:line="276" w:lineRule="auto"/>
      </w:pPr>
      <w:r>
        <w:rPr>
          <w:rFonts w:ascii="Calibri" w:hAnsi="Calibri"/>
          <w:b/>
          <w:color w:val="222222"/>
          <w:sz w:val="19"/>
        </w:rPr>
        <w:t>Decision:</w:t>
      </w:r>
      <w:r>
        <w:rPr>
          <w:rFonts w:ascii="Calibri" w:hAnsi="Calibri"/>
          <w:color w:val="222222"/>
          <w:sz w:val="19"/>
        </w:rPr>
        <w:t xml:space="preserve"> We implement </w:t>
      </w:r>
      <w:r>
        <w:rPr>
          <w:rFonts w:ascii="Calibri" w:hAnsi="Calibri"/>
          <w:b/>
          <w:color w:val="222222"/>
          <w:sz w:val="19"/>
        </w:rPr>
        <w:t>Pessimistic Row-Level Locking (`SELECT ... FOR UPDATE`)</w:t>
      </w:r>
      <w:r>
        <w:rPr>
          <w:rFonts w:ascii="Calibri" w:hAnsi="Calibri"/>
          <w:color w:val="222222"/>
          <w:sz w:val="19"/>
        </w:rPr>
        <w:t xml:space="preserve"> for stock deductions, rather than Optimistic Concurrency Control (OCC with version column).</w:t>
      </w:r>
    </w:p>
    <w:p>
      <w:pPr>
        <w:pStyle w:val="ListBullet"/>
        <w:spacing w:before="20" w:after="50" w:line="276" w:lineRule="auto"/>
      </w:pPr>
      <w:r>
        <w:rPr>
          <w:rFonts w:ascii="Calibri" w:hAnsi="Calibri"/>
          <w:b/>
          <w:color w:val="222222"/>
          <w:sz w:val="19"/>
        </w:rPr>
        <w:t>Rationale:</w:t>
      </w:r>
    </w:p>
    <w:p>
      <w:pPr>
        <w:pStyle w:val="ListNumber"/>
        <w:spacing w:before="20" w:after="50" w:line="276" w:lineRule="auto"/>
      </w:pPr>
      <w:r>
        <w:rPr>
          <w:rFonts w:ascii="Calibri" w:hAnsi="Calibri"/>
          <w:i/>
          <w:color w:val="222222"/>
          <w:sz w:val="19"/>
        </w:rPr>
        <w:t>Retry Storms in OCC:</w:t>
      </w:r>
      <w:r>
        <w:rPr>
          <w:rFonts w:ascii="Calibri" w:hAnsi="Calibri"/>
          <w:color w:val="222222"/>
          <w:sz w:val="19"/>
        </w:rPr>
        <w:t xml:space="preserve"> Under high contention (such as a festival rush with 5 cashiers selling the same fast-moving item simultaneously), OCC causes 4 out of 5 transactions to fail and trigger application-layer retries. This creates compounding latency spikes and risks user frustration.</w:t>
      </w:r>
    </w:p>
    <w:p>
      <w:pPr>
        <w:pStyle w:val="ListNumber"/>
        <w:spacing w:before="20" w:after="50" w:line="276" w:lineRule="auto"/>
      </w:pPr>
      <w:r>
        <w:rPr>
          <w:rFonts w:ascii="Calibri" w:hAnsi="Calibri"/>
          <w:i/>
          <w:color w:val="222222"/>
          <w:sz w:val="19"/>
        </w:rPr>
        <w:t>Deterministic Queueing:</w:t>
      </w:r>
      <w:r>
        <w:rPr>
          <w:rFonts w:ascii="Calibri" w:hAnsi="Calibri"/>
          <w:color w:val="222222"/>
          <w:sz w:val="19"/>
        </w:rPr>
        <w:t xml:space="preserve"> Pessimistic row locking briefly serializes only the specific batch row for &lt; 25 ms. Each cashier transaction waits a few milliseconds, decrements stock, and completes cleanly without rollback exceptions.</w:t>
      </w:r>
    </w:p>
    <w:p>
      <w:pPr>
        <w:pStyle w:val="ListBullet"/>
        <w:spacing w:before="20" w:after="50" w:line="276" w:lineRule="auto"/>
      </w:pPr>
      <w:r>
        <w:rPr>
          <w:rFonts w:ascii="Calibri" w:hAnsi="Calibri"/>
          <w:b/>
          <w:color w:val="222222"/>
          <w:sz w:val="19"/>
        </w:rPr>
        <w:t>Consequences:</w:t>
      </w:r>
      <w:r>
        <w:rPr>
          <w:rFonts w:ascii="Calibri" w:hAnsi="Calibri"/>
          <w:color w:val="222222"/>
          <w:sz w:val="19"/>
        </w:rPr>
        <w:t xml:space="preserve"> Requires disciplined lock ordering (sorting requested SKUs in ascending order) to completely prevent deadlock scenarios.</w:t>
      </w:r>
    </w:p>
    <w:p>
      <w:pPr>
        <w:spacing w:before="80" w:after="160"/>
        <w:pBdr>
          <w:bottom w:val="single" w:sz="6" w:space="1" w:color="CBD5E1"/>
        </w:pBdr>
      </w:pPr>
    </w:p>
    <w:p>
      <w:pPr>
        <w:keepNext/>
        <w:spacing w:before="200" w:after="60"/>
      </w:pPr>
      <w:r>
        <w:rPr>
          <w:rFonts w:ascii="Calibri" w:hAnsi="Calibri"/>
          <w:b/>
          <w:color w:val="2B4C7E"/>
          <w:sz w:val="22"/>
        </w:rPr>
        <w:t>ADR-03: Progressive Web Application (PWA) vs. Native Android/Kotlin APK</w:t>
      </w:r>
    </w:p>
    <w:p>
      <w:pPr>
        <w:pStyle w:val="ListBullet"/>
        <w:spacing w:before="20" w:after="50" w:line="276" w:lineRule="auto"/>
      </w:pPr>
      <w:r>
        <w:rPr>
          <w:rFonts w:ascii="Calibri" w:hAnsi="Calibri"/>
          <w:b/>
          <w:color w:val="222222"/>
          <w:sz w:val="19"/>
        </w:rPr>
        <w:t>Status:</w:t>
      </w:r>
      <w:r>
        <w:rPr>
          <w:rFonts w:ascii="Calibri" w:hAnsi="Calibri"/>
          <w:color w:val="222222"/>
          <w:sz w:val="19"/>
        </w:rPr>
        <w:t xml:space="preserve"> </w:t>
      </w:r>
      <w:r>
        <w:rPr>
          <w:rFonts w:ascii="Calibri" w:hAnsi="Calibri"/>
          <w:b/>
          <w:color w:val="222222"/>
          <w:sz w:val="19"/>
        </w:rPr>
        <w:t>ACCEPTED</w:t>
      </w:r>
    </w:p>
    <w:p>
      <w:pPr>
        <w:pStyle w:val="ListBullet"/>
        <w:spacing w:before="20" w:after="50" w:line="276" w:lineRule="auto"/>
      </w:pPr>
      <w:r>
        <w:rPr>
          <w:rFonts w:ascii="Calibri" w:hAnsi="Calibri"/>
          <w:b/>
          <w:color w:val="222222"/>
          <w:sz w:val="19"/>
        </w:rPr>
        <w:t>Context:</w:t>
      </w:r>
      <w:r>
        <w:rPr>
          <w:rFonts w:ascii="Calibri" w:hAnsi="Calibri"/>
          <w:color w:val="222222"/>
          <w:sz w:val="19"/>
        </w:rPr>
        <w:t xml:space="preserve"> Warehouse floor operators and receiving clerks need mobile barcode scanning interfaces on handheld terminals.</w:t>
      </w:r>
    </w:p>
    <w:p>
      <w:pPr>
        <w:pStyle w:val="ListBullet"/>
        <w:spacing w:before="20" w:after="50" w:line="276" w:lineRule="auto"/>
      </w:pPr>
      <w:r>
        <w:rPr>
          <w:rFonts w:ascii="Calibri" w:hAnsi="Calibri"/>
          <w:b/>
          <w:color w:val="222222"/>
          <w:sz w:val="19"/>
        </w:rPr>
        <w:t>Decision:</w:t>
      </w:r>
      <w:r>
        <w:rPr>
          <w:rFonts w:ascii="Calibri" w:hAnsi="Calibri"/>
          <w:color w:val="222222"/>
          <w:sz w:val="19"/>
        </w:rPr>
        <w:t xml:space="preserve"> We build the mobile operator interface as a </w:t>
      </w:r>
      <w:r>
        <w:rPr>
          <w:rFonts w:ascii="Calibri" w:hAnsi="Calibri"/>
          <w:b/>
          <w:color w:val="222222"/>
          <w:sz w:val="19"/>
        </w:rPr>
        <w:t>Progressive Web Application (PWA)</w:t>
      </w:r>
      <w:r>
        <w:rPr>
          <w:rFonts w:ascii="Calibri" w:hAnsi="Calibri"/>
          <w:color w:val="222222"/>
          <w:sz w:val="19"/>
        </w:rPr>
        <w:t xml:space="preserve"> in Next.js/React, rather than a native Android Kotlin application.</w:t>
      </w:r>
    </w:p>
    <w:p>
      <w:pPr>
        <w:pStyle w:val="ListBullet"/>
        <w:spacing w:before="20" w:after="50" w:line="276" w:lineRule="auto"/>
      </w:pPr>
      <w:r>
        <w:rPr>
          <w:rFonts w:ascii="Calibri" w:hAnsi="Calibri"/>
          <w:b/>
          <w:color w:val="222222"/>
          <w:sz w:val="19"/>
        </w:rPr>
        <w:t>Rationale:</w:t>
      </w:r>
    </w:p>
    <w:p>
      <w:pPr>
        <w:pStyle w:val="ListNumber"/>
        <w:spacing w:before="20" w:after="50" w:line="276" w:lineRule="auto"/>
      </w:pPr>
      <w:r>
        <w:rPr>
          <w:rFonts w:ascii="Calibri" w:hAnsi="Calibri"/>
          <w:i/>
          <w:color w:val="222222"/>
          <w:sz w:val="19"/>
        </w:rPr>
        <w:t>Frugal Hardware Agility:</w:t>
      </w:r>
      <w:r>
        <w:rPr>
          <w:rFonts w:ascii="Calibri" w:hAnsi="Calibri"/>
          <w:color w:val="222222"/>
          <w:sz w:val="19"/>
        </w:rPr>
        <w:t xml:space="preserve"> Industrial Android terminals (Zebra, Honeywell) cost upwards of 60,000 BDT. A responsive PWA runs smoothly on standard consumer smartphones (Samsung, Xiaomi, Symphony) paired with 3,500 BDT Bluetooth barcode trigger handles.</w:t>
      </w:r>
    </w:p>
    <w:p>
      <w:pPr>
        <w:pStyle w:val="ListNumber"/>
        <w:spacing w:before="20" w:after="50" w:line="276" w:lineRule="auto"/>
      </w:pPr>
      <w:r>
        <w:rPr>
          <w:rFonts w:ascii="Calibri" w:hAnsi="Calibri"/>
          <w:i/>
          <w:color w:val="222222"/>
          <w:sz w:val="19"/>
        </w:rPr>
        <w:t>Zero App-Store Friction &amp; Instant Updates:</w:t>
      </w:r>
      <w:r>
        <w:rPr>
          <w:rFonts w:ascii="Calibri" w:hAnsi="Calibri"/>
          <w:color w:val="222222"/>
          <w:sz w:val="19"/>
        </w:rPr>
        <w:t xml:space="preserve"> Warehouse floor workers do not need to install APKs or configure MDM systems. Any bug fix or algorithm update deployed to the web server is instantly available to all floor devices upon refresh.</w:t>
      </w:r>
    </w:p>
    <w:p>
      <w:pPr>
        <w:pStyle w:val="ListNumber"/>
        <w:spacing w:before="20" w:after="50" w:line="276" w:lineRule="auto"/>
      </w:pPr>
      <w:r>
        <w:rPr>
          <w:rFonts w:ascii="Calibri" w:hAnsi="Calibri"/>
          <w:i/>
          <w:color w:val="222222"/>
          <w:sz w:val="19"/>
        </w:rPr>
        <w:t>Offline Resilience via Service Workers:</w:t>
      </w:r>
      <w:r>
        <w:rPr>
          <w:rFonts w:ascii="Calibri" w:hAnsi="Calibri"/>
          <w:color w:val="222222"/>
          <w:sz w:val="19"/>
        </w:rPr>
        <w:t xml:space="preserve"> Modern Web APIs (Cache Storage API and IndexedDB) provide robust offline capabilities comparable to native SQLite storage.</w:t>
      </w:r>
    </w:p>
    <w:p>
      <w:pPr>
        <w:pStyle w:val="ListBullet"/>
        <w:spacing w:before="20" w:after="50" w:line="276" w:lineRule="auto"/>
      </w:pPr>
      <w:r>
        <w:rPr>
          <w:rFonts w:ascii="Calibri" w:hAnsi="Calibri"/>
          <w:b/>
          <w:color w:val="222222"/>
          <w:sz w:val="19"/>
        </w:rPr>
        <w:t>Consequences:</w:t>
      </w:r>
      <w:r>
        <w:rPr>
          <w:rFonts w:ascii="Calibri" w:hAnsi="Calibri"/>
          <w:color w:val="222222"/>
          <w:sz w:val="19"/>
        </w:rPr>
        <w:t xml:space="preserve"> Camera barcode scanning in low-light environments requires high-quality camera autofocus, which is mitigated by supporting physical Bluetooth HID scanner grips.</w:t>
      </w:r>
    </w:p>
    <w:p>
      <w:pPr>
        <w:spacing w:before="80" w:after="160"/>
        <w:pBdr>
          <w:bottom w:val="single" w:sz="6" w:space="1" w:color="CBD5E1"/>
        </w:pBdr>
      </w:pPr>
    </w:p>
    <w:p>
      <w:pPr>
        <w:keepNext/>
        <w:spacing w:before="200" w:after="60"/>
      </w:pPr>
      <w:r>
        <w:rPr>
          <w:rFonts w:ascii="Calibri" w:hAnsi="Calibri"/>
          <w:b/>
          <w:color w:val="2B4C7E"/>
          <w:sz w:val="22"/>
        </w:rPr>
        <w:t>ADR-04: Python FastAPI vs. Node.js Express for Core Backend</w:t>
      </w:r>
    </w:p>
    <w:p>
      <w:pPr>
        <w:pStyle w:val="ListBullet"/>
        <w:spacing w:before="20" w:after="50" w:line="276" w:lineRule="auto"/>
      </w:pPr>
      <w:r>
        <w:rPr>
          <w:rFonts w:ascii="Calibri" w:hAnsi="Calibri"/>
          <w:b/>
          <w:color w:val="222222"/>
          <w:sz w:val="19"/>
        </w:rPr>
        <w:t>Status:</w:t>
      </w:r>
      <w:r>
        <w:rPr>
          <w:rFonts w:ascii="Calibri" w:hAnsi="Calibri"/>
          <w:color w:val="222222"/>
          <w:sz w:val="19"/>
        </w:rPr>
        <w:t xml:space="preserve"> </w:t>
      </w:r>
      <w:r>
        <w:rPr>
          <w:rFonts w:ascii="Calibri" w:hAnsi="Calibri"/>
          <w:b/>
          <w:color w:val="222222"/>
          <w:sz w:val="19"/>
        </w:rPr>
        <w:t>ACCEPTED</w:t>
      </w:r>
    </w:p>
    <w:p>
      <w:pPr>
        <w:pStyle w:val="ListBullet"/>
        <w:spacing w:before="20" w:after="50" w:line="276" w:lineRule="auto"/>
      </w:pPr>
      <w:r>
        <w:rPr>
          <w:rFonts w:ascii="Calibri" w:hAnsi="Calibri"/>
          <w:b/>
          <w:color w:val="222222"/>
          <w:sz w:val="19"/>
        </w:rPr>
        <w:t>Context:</w:t>
      </w:r>
      <w:r>
        <w:rPr>
          <w:rFonts w:ascii="Calibri" w:hAnsi="Calibri"/>
          <w:color w:val="222222"/>
          <w:sz w:val="19"/>
        </w:rPr>
        <w:t xml:space="preserve"> The backend must handle high-concurrency I/O (barcode scans and POS sync) while simultaneously executing complex mathematical operations (Greasley's Safety Stock, EOQ, and Machine Learning anomaly detection).</w:t>
      </w:r>
    </w:p>
    <w:p>
      <w:pPr>
        <w:pStyle w:val="ListBullet"/>
        <w:spacing w:before="20" w:after="50" w:line="276" w:lineRule="auto"/>
      </w:pPr>
      <w:r>
        <w:rPr>
          <w:rFonts w:ascii="Calibri" w:hAnsi="Calibri"/>
          <w:b/>
          <w:color w:val="222222"/>
          <w:sz w:val="19"/>
        </w:rPr>
        <w:t>Decision:</w:t>
      </w:r>
      <w:r>
        <w:rPr>
          <w:rFonts w:ascii="Calibri" w:hAnsi="Calibri"/>
          <w:color w:val="222222"/>
          <w:sz w:val="19"/>
        </w:rPr>
        <w:t xml:space="preserve"> We select </w:t>
      </w:r>
      <w:r>
        <w:rPr>
          <w:rFonts w:ascii="Calibri" w:hAnsi="Calibri"/>
          <w:b/>
          <w:color w:val="222222"/>
          <w:sz w:val="19"/>
        </w:rPr>
        <w:t>Python 3.11+ with FastAPI</w:t>
      </w:r>
      <w:r>
        <w:rPr>
          <w:rFonts w:ascii="Calibri" w:hAnsi="Calibri"/>
          <w:color w:val="222222"/>
          <w:sz w:val="19"/>
        </w:rPr>
        <w:t xml:space="preserve"> as the primary backend framework.</w:t>
      </w:r>
    </w:p>
    <w:p>
      <w:pPr>
        <w:pStyle w:val="ListBullet"/>
        <w:spacing w:before="20" w:after="50" w:line="276" w:lineRule="auto"/>
      </w:pPr>
      <w:r>
        <w:rPr>
          <w:rFonts w:ascii="Calibri" w:hAnsi="Calibri"/>
          <w:b/>
          <w:color w:val="222222"/>
          <w:sz w:val="19"/>
        </w:rPr>
        <w:t>Rationale:</w:t>
      </w:r>
    </w:p>
    <w:p>
      <w:pPr>
        <w:pStyle w:val="ListNumber"/>
        <w:spacing w:before="20" w:after="50" w:line="276" w:lineRule="auto"/>
      </w:pPr>
      <w:r>
        <w:rPr>
          <w:rFonts w:ascii="Calibri" w:hAnsi="Calibri"/>
          <w:i/>
          <w:color w:val="222222"/>
          <w:sz w:val="19"/>
        </w:rPr>
        <w:t>Scientific &amp; Algorithmic Ecosystem:</w:t>
      </w:r>
      <w:r>
        <w:rPr>
          <w:rFonts w:ascii="Calibri" w:hAnsi="Calibri"/>
          <w:color w:val="222222"/>
          <w:sz w:val="19"/>
        </w:rPr>
        <w:t xml:space="preserve"> Implementing Greasley's dual-variance formula and Isolation Forest anomaly models in Node.js requires awkward third-party wrappers or spawning Python subprocesses. FastAPI natively executes NumPy, SciPy, and Scikit-learn within the same runtime.</w:t>
      </w:r>
    </w:p>
    <w:p>
      <w:pPr>
        <w:pStyle w:val="ListNumber"/>
        <w:spacing w:before="20" w:after="50" w:line="276" w:lineRule="auto"/>
      </w:pPr>
      <w:r>
        <w:rPr>
          <w:rFonts w:ascii="Calibri" w:hAnsi="Calibri"/>
          <w:i/>
          <w:color w:val="222222"/>
          <w:sz w:val="19"/>
        </w:rPr>
        <w:t>Asynchronous High-Throughput I/O:</w:t>
      </w:r>
      <w:r>
        <w:rPr>
          <w:rFonts w:ascii="Calibri" w:hAnsi="Calibri"/>
          <w:color w:val="222222"/>
          <w:sz w:val="19"/>
        </w:rPr>
        <w:t xml:space="preserve"> FastAPI running on </w:t>
      </w:r>
      <w:r>
        <w:rPr>
          <w:rFonts w:ascii="Consolas" w:hAnsi="Consolas"/>
          <w:color w:val="0D5C75"/>
          <w:sz w:val="18"/>
        </w:rPr>
        <w:t>uvloop</w:t>
      </w:r>
      <w:r>
        <w:rPr>
          <w:rFonts w:ascii="Calibri" w:hAnsi="Calibri"/>
          <w:color w:val="222222"/>
          <w:sz w:val="19"/>
        </w:rPr>
        <w:t xml:space="preserve"> matches or exceeds Node.js Express throughput for I/O-bound database queries.</w:t>
      </w:r>
    </w:p>
    <w:p>
      <w:pPr>
        <w:pStyle w:val="ListNumber"/>
        <w:spacing w:before="20" w:after="50" w:line="276" w:lineRule="auto"/>
      </w:pPr>
      <w:r>
        <w:rPr>
          <w:rFonts w:ascii="Calibri" w:hAnsi="Calibri"/>
          <w:i/>
          <w:color w:val="222222"/>
          <w:sz w:val="19"/>
        </w:rPr>
        <w:t>Pydantic v2 Type Safety:</w:t>
      </w:r>
      <w:r>
        <w:rPr>
          <w:rFonts w:ascii="Calibri" w:hAnsi="Calibri"/>
          <w:color w:val="222222"/>
          <w:sz w:val="19"/>
        </w:rPr>
        <w:t xml:space="preserve"> Automatic request validation, serialization, and interactive Swagger UI documentation out of the box.</w:t>
      </w:r>
    </w:p>
    <w:p>
      <w:pPr>
        <w:pStyle w:val="ListBullet"/>
        <w:spacing w:before="20" w:after="50" w:line="276" w:lineRule="auto"/>
      </w:pPr>
      <w:r>
        <w:rPr>
          <w:rFonts w:ascii="Calibri" w:hAnsi="Calibri"/>
          <w:b/>
          <w:color w:val="222222"/>
          <w:sz w:val="19"/>
        </w:rPr>
        <w:t>Consequences:</w:t>
      </w:r>
      <w:r>
        <w:rPr>
          <w:rFonts w:ascii="Calibri" w:hAnsi="Calibri"/>
          <w:color w:val="222222"/>
          <w:sz w:val="19"/>
        </w:rPr>
        <w:t xml:space="preserve"> Developers must write asynchronous code (</w:t>
      </w:r>
      <w:r>
        <w:rPr>
          <w:rFonts w:ascii="Consolas" w:hAnsi="Consolas"/>
          <w:color w:val="0D5C75"/>
          <w:sz w:val="18"/>
        </w:rPr>
        <w:t>async/await</w:t>
      </w:r>
      <w:r>
        <w:rPr>
          <w:rFonts w:ascii="Calibri" w:hAnsi="Calibri"/>
          <w:color w:val="222222"/>
          <w:sz w:val="19"/>
        </w:rPr>
        <w:t>) properly to avoid blocking the event loop during heavy CPU calculations (heavy math is offloaded to Celery background workers).</w:t>
      </w:r>
    </w:p>
    <w:p>
      <w:pPr>
        <w:spacing w:before="80" w:after="160"/>
        <w:pBdr>
          <w:bottom w:val="single" w:sz="6" w:space="1" w:color="CBD5E1"/>
        </w:pBdr>
      </w:pPr>
    </w:p>
    <w:p>
      <w:pPr>
        <w:keepNext/>
        <w:spacing w:before="200" w:after="60"/>
      </w:pPr>
      <w:r>
        <w:rPr>
          <w:rFonts w:ascii="Calibri" w:hAnsi="Calibri"/>
          <w:b/>
          <w:color w:val="2B4C7E"/>
          <w:sz w:val="22"/>
        </w:rPr>
        <w:t>ADR-05: Stateless JWT Tokens with Rotated Refresh Cookies</w:t>
      </w:r>
    </w:p>
    <w:p>
      <w:pPr>
        <w:pStyle w:val="ListBullet"/>
        <w:spacing w:before="20" w:after="50" w:line="276" w:lineRule="auto"/>
      </w:pPr>
      <w:r>
        <w:rPr>
          <w:rFonts w:ascii="Calibri" w:hAnsi="Calibri"/>
          <w:b/>
          <w:color w:val="222222"/>
          <w:sz w:val="19"/>
        </w:rPr>
        <w:t>Status:</w:t>
      </w:r>
      <w:r>
        <w:rPr>
          <w:rFonts w:ascii="Calibri" w:hAnsi="Calibri"/>
          <w:color w:val="222222"/>
          <w:sz w:val="19"/>
        </w:rPr>
        <w:t xml:space="preserve"> </w:t>
      </w:r>
      <w:r>
        <w:rPr>
          <w:rFonts w:ascii="Calibri" w:hAnsi="Calibri"/>
          <w:b/>
          <w:color w:val="222222"/>
          <w:sz w:val="19"/>
        </w:rPr>
        <w:t>ACCEPTED</w:t>
      </w:r>
    </w:p>
    <w:p>
      <w:pPr>
        <w:pStyle w:val="ListBullet"/>
        <w:spacing w:before="20" w:after="50" w:line="276" w:lineRule="auto"/>
      </w:pPr>
      <w:r>
        <w:rPr>
          <w:rFonts w:ascii="Calibri" w:hAnsi="Calibri"/>
          <w:b/>
          <w:color w:val="222222"/>
          <w:sz w:val="19"/>
        </w:rPr>
        <w:t>Context:</w:t>
      </w:r>
      <w:r>
        <w:rPr>
          <w:rFonts w:ascii="Calibri" w:hAnsi="Calibri"/>
          <w:color w:val="222222"/>
          <w:sz w:val="19"/>
        </w:rPr>
        <w:t xml:space="preserve"> The system must securely authenticate hundreds of mobile scanner sessions, desktop management consoles, and retail POS cash registers.</w:t>
      </w:r>
    </w:p>
    <w:p>
      <w:pPr>
        <w:pStyle w:val="ListBullet"/>
        <w:spacing w:before="20" w:after="50" w:line="276" w:lineRule="auto"/>
      </w:pPr>
      <w:r>
        <w:rPr>
          <w:rFonts w:ascii="Calibri" w:hAnsi="Calibri"/>
          <w:b/>
          <w:color w:val="222222"/>
          <w:sz w:val="19"/>
        </w:rPr>
        <w:t>Decision:</w:t>
      </w:r>
      <w:r>
        <w:rPr>
          <w:rFonts w:ascii="Calibri" w:hAnsi="Calibri"/>
          <w:color w:val="222222"/>
          <w:sz w:val="19"/>
        </w:rPr>
        <w:t xml:space="preserve"> We implement a </w:t>
      </w:r>
      <w:r>
        <w:rPr>
          <w:rFonts w:ascii="Calibri" w:hAnsi="Calibri"/>
          <w:b/>
          <w:color w:val="222222"/>
          <w:sz w:val="19"/>
        </w:rPr>
        <w:t>Stateless Dual-Token Architecture</w:t>
      </w:r>
      <w:r>
        <w:rPr>
          <w:rFonts w:ascii="Calibri" w:hAnsi="Calibri"/>
          <w:color w:val="222222"/>
          <w:sz w:val="19"/>
        </w:rPr>
        <w:t>: Short-lived JWT Access Tokens (15 minutes) combined with HttpOnly, Secure, SameSite Refresh Tokens (8 hours) with automated refresh token rotation.</w:t>
      </w:r>
    </w:p>
    <w:p>
      <w:pPr>
        <w:pStyle w:val="ListBullet"/>
        <w:spacing w:before="20" w:after="50" w:line="276" w:lineRule="auto"/>
      </w:pPr>
      <w:r>
        <w:rPr>
          <w:rFonts w:ascii="Calibri" w:hAnsi="Calibri"/>
          <w:b/>
          <w:color w:val="222222"/>
          <w:sz w:val="19"/>
        </w:rPr>
        <w:t>Rationale:</w:t>
      </w:r>
    </w:p>
    <w:p>
      <w:pPr>
        <w:pStyle w:val="ListNumber"/>
        <w:spacing w:before="20" w:after="50" w:line="276" w:lineRule="auto"/>
      </w:pPr>
      <w:r>
        <w:rPr>
          <w:rFonts w:ascii="Calibri" w:hAnsi="Calibri"/>
          <w:i/>
          <w:color w:val="222222"/>
          <w:sz w:val="19"/>
        </w:rPr>
        <w:t>Stateless API Gateway:</w:t>
      </w:r>
      <w:r>
        <w:rPr>
          <w:rFonts w:ascii="Calibri" w:hAnsi="Calibri"/>
          <w:color w:val="222222"/>
          <w:sz w:val="19"/>
        </w:rPr>
        <w:t xml:space="preserve"> The API Gateway verifies token signatures locally without querying the database for every single barcode scan, guaranteeing sub-second latency.</w:t>
      </w:r>
    </w:p>
    <w:p>
      <w:pPr>
        <w:pStyle w:val="ListNumber"/>
        <w:spacing w:before="20" w:after="50" w:line="276" w:lineRule="auto"/>
      </w:pPr>
      <w:r>
        <w:rPr>
          <w:rFonts w:ascii="Calibri" w:hAnsi="Calibri"/>
          <w:i/>
          <w:color w:val="222222"/>
          <w:sz w:val="19"/>
        </w:rPr>
        <w:t>Mitigation of XSS and CSRF:</w:t>
      </w:r>
      <w:r>
        <w:rPr>
          <w:rFonts w:ascii="Calibri" w:hAnsi="Calibri"/>
          <w:color w:val="222222"/>
          <w:sz w:val="19"/>
        </w:rPr>
        <w:t xml:space="preserve"> Sensitive refresh tokens are stored in HttpOnly cookies unreachable by malicious client-side JavaScript, while access tokens reside in memory.</w:t>
      </w:r>
    </w:p>
    <w:p>
      <w:pPr>
        <w:pStyle w:val="ListNumber"/>
        <w:spacing w:before="20" w:after="50" w:line="276" w:lineRule="auto"/>
      </w:pPr>
      <w:r>
        <w:rPr>
          <w:rFonts w:ascii="Calibri" w:hAnsi="Calibri"/>
          <w:i/>
          <w:color w:val="222222"/>
          <w:sz w:val="19"/>
        </w:rPr>
        <w:t>Immediate Revocation on Theft:</w:t>
      </w:r>
      <w:r>
        <w:rPr>
          <w:rFonts w:ascii="Calibri" w:hAnsi="Calibri"/>
          <w:color w:val="222222"/>
          <w:sz w:val="19"/>
        </w:rPr>
        <w:t xml:space="preserve"> When a refresh token is used, it is rotated. If a compromised refresh token is reused, all tokens in that session family are immediately invalidated in Redis.</w:t>
      </w:r>
    </w:p>
    <w:p>
      <w:pPr>
        <w:pStyle w:val="ListBullet"/>
        <w:spacing w:before="20" w:after="50" w:line="276" w:lineRule="auto"/>
      </w:pPr>
      <w:r>
        <w:rPr>
          <w:rFonts w:ascii="Calibri" w:hAnsi="Calibri"/>
          <w:b/>
          <w:color w:val="222222"/>
          <w:sz w:val="19"/>
        </w:rPr>
        <w:t>Consequences:</w:t>
      </w:r>
      <w:r>
        <w:rPr>
          <w:rFonts w:ascii="Calibri" w:hAnsi="Calibri"/>
          <w:color w:val="222222"/>
          <w:sz w:val="19"/>
        </w:rPr>
        <w:t xml:space="preserve"> Clock synchronization (NTP) across servers is required to ensure consistent JWT expiry validation.</w:t>
      </w:r>
    </w:p>
    <w:p>
      <w:pPr>
        <w:spacing w:before="80" w:after="160"/>
        <w:pBdr>
          <w:bottom w:val="single" w:sz="6" w:space="1" w:color="CBD5E1"/>
        </w:pBdr>
      </w:pPr>
    </w:p>
    <w:p>
      <w:pPr>
        <w:keepNext/>
        <w:spacing w:before="280" w:after="80"/>
      </w:pPr>
      <w:r>
        <w:rPr>
          <w:rFonts w:ascii="Calibri" w:hAnsi="Calibri"/>
          <w:b/>
          <w:color w:val="1B365D"/>
          <w:sz w:val="26"/>
        </w:rPr>
        <w:t>3. Infrastructure &amp; Deployment Environment Specifications</w:t>
      </w:r>
    </w:p>
    <w:p>
      <w:pPr>
        <w:keepNext/>
        <w:spacing w:before="200" w:after="60"/>
      </w:pPr>
      <w:r>
        <w:rPr>
          <w:rFonts w:ascii="Calibri" w:hAnsi="Calibri"/>
          <w:b/>
          <w:color w:val="2B4C7E"/>
          <w:sz w:val="22"/>
        </w:rPr>
        <w:t>3.1 Local Development Environment</w:t>
      </w:r>
    </w:p>
    <w:p>
      <w:pPr>
        <w:pStyle w:val="ListBullet"/>
        <w:spacing w:before="20" w:after="50" w:line="276" w:lineRule="auto"/>
      </w:pPr>
      <w:r>
        <w:rPr>
          <w:rFonts w:ascii="Calibri" w:hAnsi="Calibri"/>
          <w:b/>
          <w:color w:val="222222"/>
          <w:sz w:val="19"/>
        </w:rPr>
        <w:t>OS:</w:t>
      </w:r>
      <w:r>
        <w:rPr>
          <w:rFonts w:ascii="Calibri" w:hAnsi="Calibri"/>
          <w:color w:val="222222"/>
          <w:sz w:val="19"/>
        </w:rPr>
        <w:t xml:space="preserve"> Linux (Ubuntu 22.04+ / Debian 12) or macOS / Windows WSL2.</w:t>
      </w:r>
    </w:p>
    <w:p>
      <w:pPr>
        <w:pStyle w:val="ListBullet"/>
        <w:spacing w:before="20" w:after="50" w:line="276" w:lineRule="auto"/>
      </w:pPr>
      <w:r>
        <w:rPr>
          <w:rFonts w:ascii="Calibri" w:hAnsi="Calibri"/>
          <w:b/>
          <w:color w:val="222222"/>
          <w:sz w:val="19"/>
        </w:rPr>
        <w:t>Runtimes:</w:t>
      </w:r>
      <w:r>
        <w:rPr>
          <w:rFonts w:ascii="Calibri" w:hAnsi="Calibri"/>
          <w:color w:val="222222"/>
          <w:sz w:val="19"/>
        </w:rPr>
        <w:t xml:space="preserve"> Python </w:t>
      </w:r>
      <w:r>
        <w:rPr>
          <w:rFonts w:ascii="Consolas" w:hAnsi="Consolas"/>
          <w:color w:val="0D5C75"/>
          <w:sz w:val="18"/>
        </w:rPr>
        <w:t>3.11.9+</w:t>
      </w:r>
      <w:r>
        <w:rPr>
          <w:rFonts w:ascii="Calibri" w:hAnsi="Calibri"/>
          <w:color w:val="222222"/>
          <w:sz w:val="19"/>
        </w:rPr>
        <w:t xml:space="preserve">, Node.js </w:t>
      </w:r>
      <w:r>
        <w:rPr>
          <w:rFonts w:ascii="Consolas" w:hAnsi="Consolas"/>
          <w:color w:val="0D5C75"/>
          <w:sz w:val="18"/>
        </w:rPr>
        <w:t>18.20+</w:t>
      </w:r>
      <w:r>
        <w:rPr>
          <w:rFonts w:ascii="Calibri" w:hAnsi="Calibri"/>
          <w:color w:val="222222"/>
          <w:sz w:val="19"/>
        </w:rPr>
        <w:t xml:space="preserve"> (LTS), Docker </w:t>
      </w:r>
      <w:r>
        <w:rPr>
          <w:rFonts w:ascii="Consolas" w:hAnsi="Consolas"/>
          <w:color w:val="0D5C75"/>
          <w:sz w:val="18"/>
        </w:rPr>
        <w:t>26.0+</w:t>
      </w:r>
      <w:r>
        <w:rPr>
          <w:rFonts w:ascii="Calibri" w:hAnsi="Calibri"/>
          <w:color w:val="222222"/>
          <w:sz w:val="19"/>
        </w:rPr>
        <w:t>.</w:t>
      </w:r>
    </w:p>
    <w:p>
      <w:pPr>
        <w:pStyle w:val="ListBullet"/>
        <w:spacing w:before="20" w:after="50" w:line="276" w:lineRule="auto"/>
      </w:pPr>
      <w:r>
        <w:rPr>
          <w:rFonts w:ascii="Calibri" w:hAnsi="Calibri"/>
          <w:b/>
          <w:color w:val="222222"/>
          <w:sz w:val="19"/>
        </w:rPr>
        <w:t>Database Tools:</w:t>
      </w:r>
      <w:r>
        <w:rPr>
          <w:rFonts w:ascii="Calibri" w:hAnsi="Calibri"/>
          <w:color w:val="222222"/>
          <w:sz w:val="19"/>
        </w:rPr>
        <w:t xml:space="preserve"> Beekeeper Studio, pgAdmin 4, or DBeaver.</w:t>
      </w:r>
    </w:p>
    <w:p>
      <w:pPr>
        <w:pStyle w:val="ListBullet"/>
        <w:spacing w:before="20" w:after="50" w:line="276" w:lineRule="auto"/>
      </w:pPr>
      <w:r>
        <w:rPr>
          <w:rFonts w:ascii="Calibri" w:hAnsi="Calibri"/>
          <w:b/>
          <w:color w:val="222222"/>
          <w:sz w:val="19"/>
        </w:rPr>
        <w:t>Hardware Requirements:</w:t>
      </w:r>
      <w:r>
        <w:rPr>
          <w:rFonts w:ascii="Calibri" w:hAnsi="Calibri"/>
          <w:color w:val="222222"/>
          <w:sz w:val="19"/>
        </w:rPr>
        <w:t xml:space="preserve"> Minimum 8 GB RAM (16 GB recommended), 4-Core CPU, 20 GB free disk space.</w:t>
      </w:r>
    </w:p>
    <w:p>
      <w:pPr>
        <w:keepNext/>
        <w:spacing w:before="200" w:after="60"/>
      </w:pPr>
      <w:r>
        <w:rPr>
          <w:rFonts w:ascii="Calibri" w:hAnsi="Calibri"/>
          <w:b/>
          <w:color w:val="2B4C7E"/>
          <w:sz w:val="22"/>
        </w:rPr>
        <w:t>3.2 Docker Compose Service Ports &amp; Network Topology</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40" w:type="dxa"/>
              <w:right w:w="140" w:type="dxa"/>
            </w:tcMar>
            <w:tcBorders>
              <w:left w:val="single" w:sz="12" w:space="0" w:color="1B365D"/>
              <w:top w:val="single" w:sz="4" w:space="0" w:color="E2E8F0"/>
              <w:right w:val="single" w:sz="4" w:space="0" w:color="E2E8F0"/>
              <w:bottom w:val="single" w:sz="4" w:space="0" w:color="E2E8F0"/>
            </w:tcBorders>
          </w:tcPr>
          <w:p>
            <w:pPr>
              <w:spacing w:before="40" w:after="40" w:line="252" w:lineRule="auto"/>
            </w:pPr>
            <w:r>
              <w:rPr>
                <w:rFonts w:ascii="Consolas" w:hAnsi="Consolas"/>
                <w:color w:val="1E293B"/>
                <w:sz w:val="17"/>
              </w:rPr>
              <w:t>version: '3.8'</w:t>
              <w:br/>
              <w:br/>
              <w:t>services:</w:t>
              <w:br/>
              <w:t xml:space="preserve">  retailsync-db:</w:t>
              <w:br/>
              <w:t xml:space="preserve">    image: postgres:16-alpine</w:t>
              <w:br/>
              <w:t xml:space="preserve">    container_name: retailsync-db</w:t>
              <w:br/>
              <w:t xml:space="preserve">    environment:</w:t>
              <w:br/>
              <w:t xml:space="preserve">      POSTGRES_DB: retailsync_db</w:t>
              <w:br/>
              <w:t xml:space="preserve">      POSTGRES_USER: retailsync_user</w:t>
              <w:br/>
              <w:t xml:space="preserve">      POSTGRES_PASSWORD: retailsync_secure_password_2026</w:t>
              <w:br/>
              <w:t xml:space="preserve">    ports:</w:t>
              <w:br/>
              <w:t xml:space="preserve">      - "5432:5432"</w:t>
              <w:br/>
              <w:t xml:space="preserve">    volumes:</w:t>
              <w:br/>
              <w:t xml:space="preserve">      - pgdata:/var/lib/postgresql/data</w:t>
              <w:br/>
              <w:t xml:space="preserve">      - ./docs/DATABASE_SCHEMA.sql:/docker-entrypoint-initdb.d/init.sql</w:t>
              <w:br/>
              <w:br/>
              <w:t xml:space="preserve">  retailsync-redis:</w:t>
              <w:br/>
              <w:t xml:space="preserve">    image: redis:7.2-alpine</w:t>
              <w:br/>
              <w:t xml:space="preserve">    container_name: retailsync-redis</w:t>
              <w:br/>
              <w:t xml:space="preserve">    ports:</w:t>
              <w:br/>
              <w:t xml:space="preserve">      - "6379:6379"</w:t>
              <w:br/>
              <w:t xml:space="preserve">    command: ["redis-server", "--appendonly", "yes"]</w:t>
              <w:br/>
              <w:br/>
              <w:t xml:space="preserve">  retailsync-backend:</w:t>
              <w:br/>
              <w:t xml:space="preserve">    build: ./backend</w:t>
              <w:br/>
              <w:t xml:space="preserve">    container_name: retailsync-backend</w:t>
              <w:br/>
              <w:t xml:space="preserve">    environment:</w:t>
              <w:br/>
              <w:t xml:space="preserve">      DATABASE_URL: postgresql+asyncpg://retailsync_user:retailsync_secure_password_2026@retailsync-db:5432/retailsync_db</w:t>
              <w:br/>
              <w:t xml:space="preserve">      REDIS_URL: redis://retailsync-redis:6379/0</w:t>
              <w:br/>
              <w:t xml:space="preserve">      JWT_SECRET: super_secure_dev_jwt_secret_key_diu_2026</w:t>
              <w:br/>
              <w:t xml:space="preserve">    ports:</w:t>
              <w:br/>
              <w:t xml:space="preserve">      - "8000:8000"</w:t>
              <w:br/>
              <w:t xml:space="preserve">    depends_on:</w:t>
              <w:br/>
              <w:t xml:space="preserve">      - retailsync-db</w:t>
              <w:br/>
              <w:t xml:space="preserve">      - retailsync-redis</w:t>
              <w:br/>
              <w:br/>
              <w:t xml:space="preserve">  retailsync-frontend:</w:t>
              <w:br/>
              <w:t xml:space="preserve">    build: ./frontend</w:t>
              <w:br/>
              <w:t xml:space="preserve">    container_name: retailsync-frontend</w:t>
              <w:br/>
              <w:t xml:space="preserve">    environment:</w:t>
              <w:br/>
              <w:t xml:space="preserve">      NEXT_PUBLIC_API_URL: http://localhost:8000/api/v1</w:t>
              <w:br/>
              <w:t xml:space="preserve">    ports:</w:t>
              <w:br/>
              <w:t xml:space="preserve">      - "3000:3000"</w:t>
              <w:br/>
              <w:t xml:space="preserve">    depends_on:</w:t>
              <w:br/>
              <w:t xml:space="preserve">      - retailsync-backend</w:t>
              <w:br/>
              <w:br/>
              <w:t>volumes:</w:t>
              <w:br/>
              <w:t xml:space="preserve">  pgdata:</w:t>
            </w:r>
          </w:p>
        </w:tc>
      </w:tr>
    </w:tbl>
    <w:p>
      <w:pPr>
        <w:spacing w:before="0" w:after="80"/>
      </w:pP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left"/>
    </w:pPr>
    <w:r>
      <w:rPr>
        <w:rFonts w:ascii="Calibri" w:hAnsi="Calibri"/>
        <w:color w:val="555555"/>
        <w:sz w:val="17"/>
      </w:rPr>
      <w:t>Dept. of Software Engineering, Daffodil International University | Raisul Islam Likhon</w:t>
    </w:r>
    <w:r>
      <w:rPr>
        <w:rFonts w:ascii="Calibri" w:hAnsi="Calibri"/>
        <w:color w:val="555555"/>
        <w:sz w:val="17"/>
      </w:rPr>
      <w:tab/>
      <w:tab/>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right"/>
    </w:pPr>
    <w:r>
      <w:rPr>
        <w:rFonts w:ascii="Calibri" w:hAnsi="Calibri"/>
        <w:color w:val="555555"/>
        <w:sz w:val="17"/>
      </w:rPr>
      <w:t>RetailSync: Technology Stack &amp; ADRs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