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color w:val="004B87"/>
          <w:sz w:val="48"/>
        </w:rPr>
        <w:t>Vehicle Service Management System</w:t>
      </w:r>
    </w:p>
    <w:p>
      <w:pPr>
        <w:jc w:val="center"/>
        <w:spacing w:after="400"/>
      </w:pPr>
      <w:r>
        <w:rPr>
          <w:i/>
          <w:color w:val="555555"/>
          <w:sz w:val="26"/>
        </w:rPr>
        <w:t>Pega Infinity 24.1 / 8.8 — Capstone Project &amp; Technical Report</w:t>
      </w:r>
    </w:p>
    <w:p>
      <w:pPr>
        <w:pStyle w:val="Heading1"/>
      </w:pPr>
      <w:r>
        <w:t>1. Executive Summary</w:t>
      </w:r>
    </w:p>
    <w:p>
      <w:r>
        <w:t>The Vehicle Service Management System is an enterprise-grade solution built using the Pega Infinity Low-Code Platform and Pega GenAI Blueprint. It streamlines the automotive repair lifecycle, replacing disparate manual service tracking with an automated, end-to-end Case Management architecture.</w:t>
      </w:r>
    </w:p>
    <w:p>
      <w:pPr>
        <w:pStyle w:val="Heading1"/>
      </w:pPr>
      <w:r>
        <w:t>2. Case Lifecycle Architecture</w:t>
      </w:r>
    </w:p>
    <w:p>
      <w:r>
        <w:t>The primary case type 'Submit Vehicle Service Request' (Case Prefix: S-) is organized into five sequential stages:</w:t>
      </w:r>
    </w:p>
    <w:p>
      <w:r>
        <w:t>• Stage 1 (Request Intake): Customer profile resolution (vin-cus011), vehicle data mapping, and symptom logging.</w:t>
      </w:r>
    </w:p>
    <w:p>
      <w:r>
        <w:t>• Stage 2 (Inspection Diagnosis): Multi-point technical checklist review and diagnosis notes recording.</w:t>
      </w:r>
    </w:p>
    <w:p>
      <w:r>
        <w:t>• Stage 3 (Estimate Approval): Dynamic cost itemization of labor and replacement parts with auto-calculating GST (18%).</w:t>
      </w:r>
    </w:p>
    <w:p>
      <w:r>
        <w:t>• Stage 4 (Service Execution): Parts fulfillment, technician allocation (tech1@vehicle.com), and quality inspection.</w:t>
      </w:r>
    </w:p>
    <w:p>
      <w:r>
        <w:t>• Stage 5 (Service Completion): Final digital invoice generation, customer notification, and case resolution.</w:t>
      </w:r>
    </w:p>
    <w:p>
      <w:pPr>
        <w:pStyle w:val="Heading1"/>
      </w:pPr>
      <w:r>
        <w:t>3. Data Model &amp; Key Technical Solutions</w:t>
      </w:r>
    </w:p>
    <w:p>
      <w:r>
        <w:t>• External Database Mapping: Resolved the .pyLabel unexposed database exception on external tables by mapping .pyLabel to the physical column 'customerlabel' and refreshing the DB connection cache.</w:t>
      </w:r>
    </w:p>
    <w:p>
      <w:r>
        <w:t>• Declarative Cost Calculations: Built automated Declare Expressions for Labor Services Total, Replacement Parts Total, Subtotal, GST, and Grand Total.</w:t>
      </w:r>
    </w:p>
    <w:p>
      <w:r>
        <w:t>• Operator &amp; Work Queue Routing: Configured the Technician persona (tech1@vehicle.com) under the VehicleS:Authors access group.</w:t>
      </w:r>
    </w:p>
    <w:p>
      <w:pPr>
        <w:pStyle w:val="Heading1"/>
      </w:pPr>
      <w:r>
        <w:t>4. Live Demo &amp; Repository</w:t>
      </w:r>
    </w:p>
    <w:p>
      <w:r>
        <w:t>• Live Demo Portal: https://likisai.github.io/pega-vehicle-service-management/</w:t>
      </w:r>
    </w:p>
    <w:p>
      <w:r>
        <w:t>• GitHub Repository: https://github.com/Likisai/pega-vehicle-service-management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333333"/>
      </w:rPr>
    </w:rPrDefault>
  </w:docDefaults>
  <w:style w:type="paragraph" w:styleId="Heading1">
    <w:name w:val="heading 1"/>
    <w:pPr>
      <w:spacing w:before="240" w:after="120"/>
    </w:pPr>
    <w:rPr>
      <w:b/>
      <w:color w:val="004B87"/>
      <w:sz w:val="32"/>
    </w:rPr>
  </w:style>
  <w:style w:type="paragraph" w:styleId="Heading2">
    <w:name w:val="heading 2"/>
    <w:pPr>
      <w:spacing w:before="180" w:after="80"/>
    </w:pPr>
    <w:rPr>
      <w:b/>
      <w:color w:val="1E5CB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