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pPr>
    </w:p>
    <w:p>
      <w:pPr>
        <w:jc w:val="center"/>
      </w:pPr>
      <w:r>
        <w:rPr>
          <w:rFonts w:ascii="Calibri" w:hAnsi="Calibri"/>
          <w:b/>
          <w:color w:val="1E3A8A"/>
          <w:sz w:val="40"/>
        </w:rPr>
        <w:t>TelcoPulse AI: Generative AI-Powered Telecom Customer Retention &amp; Win-Back Copilot</w:t>
      </w:r>
    </w:p>
    <w:p>
      <w:pPr>
        <w:spacing w:before="80"/>
        <w:jc w:val="center"/>
      </w:pPr>
      <w:r>
        <w:rPr>
          <w:rFonts w:ascii="Calibri" w:hAnsi="Calibri"/>
          <w:b/>
          <w:color w:val="2563EB"/>
          <w:sz w:val="26"/>
        </w:rPr>
        <w:t>Learning Block 1 Project Report</w:t>
      </w:r>
    </w:p>
    <w:p>
      <w:pPr>
        <w:spacing w:before="80" w:after="560"/>
        <w:jc w:val="center"/>
      </w:pPr>
      <w:r>
        <w:rPr>
          <w:rFonts w:ascii="Calibri" w:hAnsi="Calibri"/>
          <w:i/>
          <w:color w:val="4B5563"/>
          <w:sz w:val="22"/>
        </w:rPr>
        <w:t>A Generative AI Decision Support System for Automated Win-Back Campaign Generation &amp; Frontline Agent Negotiation Intelligence</w:t>
      </w:r>
    </w:p>
    <w:tbl>
      <w:tblPr>
        <w:tblW w:type="auto" w:w="0"/>
        <w:jc w:val="center"/>
        <w:tblLook w:firstColumn="1" w:firstRow="1" w:lastColumn="0" w:lastRow="0" w:noHBand="0" w:noVBand="1" w:val="04A0"/>
      </w:tblPr>
      <w:tblGrid>
        <w:gridCol w:w="10080"/>
      </w:tblGrid>
      <w:tr>
        <w:trPr>
          <w:cantSplit/>
        </w:trPr>
        <w:tc>
          <w:tcPr>
            <w:tcW w:type="dxa" w:w="10080"/>
            <w:shd w:fill="F1F5F9"/>
            <w:tcMar>
              <w:top w:w="160" w:type="dxa"/>
              <w:bottom w:w="160" w:type="dxa"/>
              <w:left w:w="220" w:type="dxa"/>
              <w:right w:w="220" w:type="dxa"/>
            </w:tcMar>
            <w:tcBorders>
              <w:top w:val="single" w:sz="12" w:space="0" w:color="CBD5E1"/>
              <w:left w:val="single" w:sz="24" w:space="0" w:color="1E3A8A"/>
              <w:bottom w:val="single" w:sz="12" w:space="0" w:color="CBD5E1"/>
              <w:right w:val="single" w:sz="12" w:space="0" w:color="CBD5E1"/>
            </w:tcBorders>
          </w:tcPr>
          <w:p>
            <w:pPr>
              <w:spacing w:line="300" w:lineRule="auto"/>
              <w:jc w:val="center"/>
            </w:pPr>
            <w:r>
              <w:rPr>
                <w:rFonts w:ascii="Calibri" w:hAnsi="Calibri"/>
                <w:b/>
                <w:color w:val="1E3A8A"/>
                <w:sz w:val="22"/>
              </w:rPr>
              <w:t xml:space="preserve">Submitted by: </w:t>
            </w:r>
            <w:r>
              <w:rPr>
                <w:rFonts w:ascii="Calibri" w:hAnsi="Calibri"/>
                <w:color w:val="1F2937"/>
                <w:sz w:val="22"/>
              </w:rPr>
              <w:t>Anaganti Sairishikesh</w:t>
              <w:br/>
            </w:r>
            <w:r>
              <w:rPr>
                <w:rFonts w:ascii="Calibri" w:hAnsi="Calibri"/>
                <w:b/>
                <w:color w:val="1E3A8A"/>
                <w:sz w:val="22"/>
              </w:rPr>
              <w:t xml:space="preserve">Guided by / Mentor: </w:t>
            </w:r>
            <w:r>
              <w:rPr>
                <w:rFonts w:ascii="Calibri" w:hAnsi="Calibri"/>
                <w:color w:val="1F2937"/>
                <w:sz w:val="22"/>
              </w:rPr>
              <w:t>Raghavendra Rao</w:t>
              <w:br/>
            </w:r>
            <w:r>
              <w:rPr>
                <w:rFonts w:ascii="Calibri" w:hAnsi="Calibri"/>
                <w:b/>
                <w:color w:val="1E3A8A"/>
                <w:sz w:val="22"/>
              </w:rPr>
              <w:t xml:space="preserve">College / Institute Name: </w:t>
            </w:r>
            <w:r>
              <w:rPr>
                <w:rFonts w:ascii="Calibri" w:hAnsi="Calibri"/>
                <w:color w:val="1F2937"/>
                <w:sz w:val="22"/>
              </w:rPr>
              <w:t>Teegala Krishna Reddy Engineering College</w:t>
              <w:br/>
            </w:r>
            <w:r>
              <w:rPr>
                <w:rFonts w:ascii="Calibri" w:hAnsi="Calibri"/>
                <w:b/>
                <w:color w:val="1E3A8A"/>
                <w:sz w:val="22"/>
              </w:rPr>
              <w:t xml:space="preserve">Department: </w:t>
            </w:r>
            <w:r>
              <w:rPr>
                <w:rFonts w:ascii="Calibri" w:hAnsi="Calibri"/>
                <w:color w:val="1F2937"/>
                <w:sz w:val="22"/>
              </w:rPr>
              <w:t>Department of Computer Science and Engineering</w:t>
              <w:br/>
            </w:r>
            <w:r>
              <w:rPr>
                <w:rFonts w:ascii="Calibri" w:hAnsi="Calibri"/>
                <w:b/>
                <w:color w:val="1E3A8A"/>
                <w:sz w:val="22"/>
              </w:rPr>
              <w:t xml:space="preserve">Academic Year: </w:t>
            </w:r>
            <w:r>
              <w:rPr>
                <w:rFonts w:ascii="Calibri" w:hAnsi="Calibri"/>
                <w:color w:val="1F2937"/>
                <w:sz w:val="22"/>
              </w:rPr>
              <w:t>Final Year (2026 - 2027)</w:t>
              <w:br/>
            </w:r>
            <w:r>
              <w:rPr>
                <w:rFonts w:ascii="Calibri" w:hAnsi="Calibri"/>
                <w:b/>
                <w:color w:val="1E3A8A"/>
                <w:sz w:val="22"/>
              </w:rPr>
              <w:t xml:space="preserve">Project Domain: </w:t>
            </w:r>
            <w:r>
              <w:rPr>
                <w:rFonts w:ascii="Calibri" w:hAnsi="Calibri"/>
                <w:color w:val="1F2937"/>
                <w:sz w:val="22"/>
              </w:rPr>
              <w:t>Generative Artificial Intelligence (GenAI) &amp; LLMs</w:t>
              <w:br/>
            </w:r>
            <w:r>
              <w:rPr>
                <w:rFonts w:ascii="Calibri" w:hAnsi="Calibri"/>
                <w:b/>
                <w:color w:val="1E3A8A"/>
                <w:sz w:val="22"/>
              </w:rPr>
              <w:t xml:space="preserve">Live Application URL: </w:t>
            </w:r>
            <w:r>
              <w:rPr>
                <w:rFonts w:ascii="Calibri" w:hAnsi="Calibri"/>
                <w:color w:val="1F2937"/>
                <w:sz w:val="22"/>
              </w:rPr>
              <w:t>https://telecomcustomers.streamlit.app/</w:t>
              <w:br/>
            </w:r>
          </w:p>
        </w:tc>
      </w:tr>
    </w:tbl>
    <w:p>
      <w:pPr>
        <w:spacing w:before="720"/>
        <w:jc w:val="center"/>
      </w:pPr>
      <w:r>
        <w:rPr>
          <w:rFonts w:ascii="Calibri" w:hAnsi="Calibri"/>
          <w:b/>
          <w:color w:val="94A3B8"/>
          <w:sz w:val="19"/>
        </w:rPr>
        <w:t>TelcoPulse AI  •  Production-Ready Enterprise GenAI System</w:t>
      </w:r>
    </w:p>
    <w:p>
      <w:r>
        <w:br w:type="page"/>
      </w:r>
    </w:p>
    <w:p>
      <w:pPr>
        <w:pStyle w:val="Heading1"/>
        <w:keepNext/>
        <w:spacing w:before="0" w:after="120"/>
      </w:pPr>
      <w:r>
        <w:rPr>
          <w:rFonts w:ascii="Calibri" w:hAnsi="Calibri"/>
          <w:b/>
          <w:color w:val="1E3A8A"/>
          <w:sz w:val="28"/>
        </w:rPr>
        <w:t>Table of Contents</w:t>
      </w:r>
    </w:p>
    <w:tbl>
      <w:tblPr>
        <w:tblW w:type="auto" w:w="0"/>
        <w:jc w:val="center"/>
        <w:tblLook w:firstColumn="1" w:firstRow="1" w:lastColumn="0" w:lastRow="0" w:noHBand="0" w:noVBand="1" w:val="04A0"/>
      </w:tblPr>
      <w:tblGrid>
        <w:gridCol w:w="3360"/>
        <w:gridCol w:w="3360"/>
        <w:gridCol w:w="3360"/>
      </w:tblGrid>
      <w:tr>
        <w:trPr>
          <w:tblHeader/>
          <w:cantSplit/>
        </w:trPr>
        <w:tc>
          <w:tcPr>
            <w:tcW w:type="dxa" w:w="1008"/>
            <w:shd w:fill="1E3A8A"/>
            <w:tcMar>
              <w:top w:w="80" w:type="dxa"/>
              <w:bottom w:w="80" w:type="dxa"/>
              <w:left w:w="80" w:type="dxa"/>
              <w:right w:w="80" w:type="dxa"/>
            </w:tcMar>
          </w:tcPr>
          <w:p>
            <w:pPr>
              <w:spacing w:after="0"/>
              <w:jc w:val="center"/>
            </w:pPr>
            <w:r>
              <w:rPr>
                <w:rFonts w:ascii="Calibri" w:hAnsi="Calibri"/>
                <w:b/>
                <w:color w:val="FFFFFF"/>
                <w:sz w:val="18"/>
              </w:rPr>
              <w:t>S.No</w:t>
            </w:r>
          </w:p>
        </w:tc>
        <w:tc>
          <w:tcPr>
            <w:tcW w:type="dxa" w:w="7632"/>
            <w:shd w:fill="1E3A8A"/>
            <w:tcMar>
              <w:top w:w="80" w:type="dxa"/>
              <w:bottom w:w="80" w:type="dxa"/>
              <w:left w:w="80" w:type="dxa"/>
              <w:right w:w="80" w:type="dxa"/>
            </w:tcMar>
          </w:tcPr>
          <w:p>
            <w:pPr>
              <w:spacing w:after="0"/>
              <w:jc w:val="center"/>
            </w:pPr>
            <w:r>
              <w:rPr>
                <w:rFonts w:ascii="Calibri" w:hAnsi="Calibri"/>
                <w:b/>
                <w:color w:val="FFFFFF"/>
                <w:sz w:val="18"/>
              </w:rPr>
              <w:t>Topic / Chapter Name</w:t>
            </w:r>
          </w:p>
        </w:tc>
        <w:tc>
          <w:tcPr>
            <w:tcW w:type="dxa" w:w="1440"/>
            <w:shd w:fill="1E3A8A"/>
            <w:tcMar>
              <w:top w:w="80" w:type="dxa"/>
              <w:bottom w:w="80" w:type="dxa"/>
              <w:left w:w="80" w:type="dxa"/>
              <w:right w:w="80" w:type="dxa"/>
            </w:tcMar>
          </w:tcPr>
          <w:p>
            <w:pPr>
              <w:spacing w:after="0"/>
              <w:jc w:val="center"/>
            </w:pPr>
            <w:r>
              <w:rPr>
                <w:rFonts w:ascii="Calibri" w:hAnsi="Calibri"/>
                <w:b/>
                <w:color w:val="FFFFFF"/>
                <w:sz w:val="18"/>
              </w:rPr>
              <w:t>Page No.</w:t>
            </w:r>
          </w:p>
        </w:tc>
      </w:tr>
      <w:tr>
        <w:trPr>
          <w:cantSplit/>
        </w:trPr>
        <w:tc>
          <w:tcPr>
            <w:tcW w:type="dxa" w:w="1008"/>
            <w:shd w:fill="FFFFFF"/>
            <w:tcMar>
              <w:top w:w="45" w:type="dxa"/>
              <w:bottom w:w="45" w:type="dxa"/>
              <w:left w:w="80" w:type="dxa"/>
              <w:right w:w="80" w:type="dxa"/>
            </w:tcMar>
          </w:tcPr>
          <w:p>
            <w:pPr>
              <w:spacing w:after="0"/>
              <w:jc w:val="left"/>
            </w:pPr>
            <w:r>
              <w:rPr>
                <w:rFonts w:ascii="Calibri" w:hAnsi="Calibri"/>
                <w:color w:val="1F2937"/>
                <w:sz w:val="17"/>
              </w:rPr>
              <w:t>1</w:t>
            </w:r>
          </w:p>
        </w:tc>
        <w:tc>
          <w:tcPr>
            <w:tcW w:type="dxa" w:w="7632"/>
            <w:shd w:fill="FFFFFF"/>
            <w:tcMar>
              <w:top w:w="45" w:type="dxa"/>
              <w:bottom w:w="45" w:type="dxa"/>
              <w:left w:w="80" w:type="dxa"/>
              <w:right w:w="80" w:type="dxa"/>
            </w:tcMar>
          </w:tcPr>
          <w:p>
            <w:pPr>
              <w:spacing w:after="0"/>
              <w:jc w:val="left"/>
            </w:pPr>
            <w:r>
              <w:rPr>
                <w:rFonts w:ascii="Calibri" w:hAnsi="Calibri"/>
                <w:color w:val="1F2937"/>
                <w:sz w:val="17"/>
              </w:rPr>
              <w:t>Introduction (Overview, GenAI Role, Output Modalities, Key Features)</w:t>
            </w:r>
          </w:p>
        </w:tc>
        <w:tc>
          <w:tcPr>
            <w:tcW w:type="dxa" w:w="1440"/>
            <w:shd w:fill="FFFFFF"/>
            <w:tcMar>
              <w:top w:w="45" w:type="dxa"/>
              <w:bottom w:w="45" w:type="dxa"/>
              <w:left w:w="80" w:type="dxa"/>
              <w:right w:w="80" w:type="dxa"/>
            </w:tcMar>
          </w:tcPr>
          <w:p>
            <w:pPr>
              <w:spacing w:after="0"/>
              <w:jc w:val="center"/>
            </w:pPr>
            <w:r>
              <w:rPr>
                <w:rFonts w:ascii="Calibri" w:hAnsi="Calibri"/>
                <w:color w:val="1F2937"/>
                <w:sz w:val="17"/>
              </w:rPr>
              <w:t>3</w:t>
            </w:r>
          </w:p>
        </w:tc>
      </w:tr>
      <w:tr>
        <w:trPr>
          <w:cantSplit/>
        </w:trPr>
        <w:tc>
          <w:tcPr>
            <w:tcW w:type="dxa" w:w="1008"/>
            <w:shd w:fill="F8FAFC"/>
            <w:tcMar>
              <w:top w:w="45" w:type="dxa"/>
              <w:bottom w:w="45" w:type="dxa"/>
              <w:left w:w="80" w:type="dxa"/>
              <w:right w:w="80" w:type="dxa"/>
            </w:tcMar>
          </w:tcPr>
          <w:p>
            <w:pPr>
              <w:spacing w:after="0"/>
              <w:jc w:val="left"/>
            </w:pPr>
            <w:r>
              <w:rPr>
                <w:rFonts w:ascii="Calibri" w:hAnsi="Calibri"/>
                <w:color w:val="1F2937"/>
                <w:sz w:val="17"/>
              </w:rPr>
              <w:t>2</w:t>
            </w:r>
          </w:p>
        </w:tc>
        <w:tc>
          <w:tcPr>
            <w:tcW w:type="dxa" w:w="7632"/>
            <w:shd w:fill="F8FAFC"/>
            <w:tcMar>
              <w:top w:w="45" w:type="dxa"/>
              <w:bottom w:w="45" w:type="dxa"/>
              <w:left w:w="80" w:type="dxa"/>
              <w:right w:w="80" w:type="dxa"/>
            </w:tcMar>
          </w:tcPr>
          <w:p>
            <w:pPr>
              <w:spacing w:after="0"/>
              <w:jc w:val="left"/>
            </w:pPr>
            <w:r>
              <w:rPr>
                <w:rFonts w:ascii="Calibri" w:hAnsi="Calibri"/>
                <w:color w:val="1F2937"/>
                <w:sz w:val="17"/>
              </w:rPr>
              <w:t>Problem Statement (Real-World Inefficiencies &amp; GenAI Advantages)</w:t>
            </w:r>
          </w:p>
        </w:tc>
        <w:tc>
          <w:tcPr>
            <w:tcW w:type="dxa" w:w="1440"/>
            <w:shd w:fill="F8FAFC"/>
            <w:tcMar>
              <w:top w:w="45" w:type="dxa"/>
              <w:bottom w:w="45" w:type="dxa"/>
              <w:left w:w="80" w:type="dxa"/>
              <w:right w:w="80" w:type="dxa"/>
            </w:tcMar>
          </w:tcPr>
          <w:p>
            <w:pPr>
              <w:spacing w:after="0"/>
              <w:jc w:val="center"/>
            </w:pPr>
            <w:r>
              <w:rPr>
                <w:rFonts w:ascii="Calibri" w:hAnsi="Calibri"/>
                <w:color w:val="1F2937"/>
                <w:sz w:val="17"/>
              </w:rPr>
              <w:t>4</w:t>
            </w:r>
          </w:p>
        </w:tc>
      </w:tr>
      <w:tr>
        <w:trPr>
          <w:cantSplit/>
        </w:trPr>
        <w:tc>
          <w:tcPr>
            <w:tcW w:type="dxa" w:w="1008"/>
            <w:shd w:fill="FFFFFF"/>
            <w:tcMar>
              <w:top w:w="45" w:type="dxa"/>
              <w:bottom w:w="45" w:type="dxa"/>
              <w:left w:w="80" w:type="dxa"/>
              <w:right w:w="80" w:type="dxa"/>
            </w:tcMar>
          </w:tcPr>
          <w:p>
            <w:pPr>
              <w:spacing w:after="0"/>
              <w:jc w:val="left"/>
            </w:pPr>
            <w:r>
              <w:rPr>
                <w:rFonts w:ascii="Calibri" w:hAnsi="Calibri"/>
                <w:color w:val="1F2937"/>
                <w:sz w:val="17"/>
              </w:rPr>
              <w:t>3</w:t>
            </w:r>
          </w:p>
        </w:tc>
        <w:tc>
          <w:tcPr>
            <w:tcW w:type="dxa" w:w="7632"/>
            <w:shd w:fill="FFFFFF"/>
            <w:tcMar>
              <w:top w:w="45" w:type="dxa"/>
              <w:bottom w:w="45" w:type="dxa"/>
              <w:left w:w="80" w:type="dxa"/>
              <w:right w:w="80" w:type="dxa"/>
            </w:tcMar>
          </w:tcPr>
          <w:p>
            <w:pPr>
              <w:spacing w:after="0"/>
              <w:jc w:val="left"/>
            </w:pPr>
            <w:r>
              <w:rPr>
                <w:rFonts w:ascii="Calibri" w:hAnsi="Calibri"/>
                <w:color w:val="1F2937"/>
                <w:sz w:val="17"/>
              </w:rPr>
              <w:t>Objectives (Technical Milestones &amp; Evaluation Criteria)</w:t>
            </w:r>
          </w:p>
        </w:tc>
        <w:tc>
          <w:tcPr>
            <w:tcW w:type="dxa" w:w="1440"/>
            <w:shd w:fill="FFFFFF"/>
            <w:tcMar>
              <w:top w:w="45" w:type="dxa"/>
              <w:bottom w:w="45" w:type="dxa"/>
              <w:left w:w="80" w:type="dxa"/>
              <w:right w:w="80" w:type="dxa"/>
            </w:tcMar>
          </w:tcPr>
          <w:p>
            <w:pPr>
              <w:spacing w:after="0"/>
              <w:jc w:val="center"/>
            </w:pPr>
            <w:r>
              <w:rPr>
                <w:rFonts w:ascii="Calibri" w:hAnsi="Calibri"/>
                <w:color w:val="1F2937"/>
                <w:sz w:val="17"/>
              </w:rPr>
              <w:t>4</w:t>
            </w:r>
          </w:p>
        </w:tc>
      </w:tr>
      <w:tr>
        <w:trPr>
          <w:cantSplit/>
        </w:trPr>
        <w:tc>
          <w:tcPr>
            <w:tcW w:type="dxa" w:w="1008"/>
            <w:shd w:fill="F8FAFC"/>
            <w:tcMar>
              <w:top w:w="45" w:type="dxa"/>
              <w:bottom w:w="45" w:type="dxa"/>
              <w:left w:w="80" w:type="dxa"/>
              <w:right w:w="80" w:type="dxa"/>
            </w:tcMar>
          </w:tcPr>
          <w:p>
            <w:pPr>
              <w:spacing w:after="0"/>
              <w:jc w:val="left"/>
            </w:pPr>
            <w:r>
              <w:rPr>
                <w:rFonts w:ascii="Calibri" w:hAnsi="Calibri"/>
                <w:color w:val="1F2937"/>
                <w:sz w:val="17"/>
              </w:rPr>
              <w:t>4</w:t>
            </w:r>
          </w:p>
        </w:tc>
        <w:tc>
          <w:tcPr>
            <w:tcW w:type="dxa" w:w="7632"/>
            <w:shd w:fill="F8FAFC"/>
            <w:tcMar>
              <w:top w:w="45" w:type="dxa"/>
              <w:bottom w:w="45" w:type="dxa"/>
              <w:left w:w="80" w:type="dxa"/>
              <w:right w:w="80" w:type="dxa"/>
            </w:tcMar>
          </w:tcPr>
          <w:p>
            <w:pPr>
              <w:spacing w:after="0"/>
              <w:jc w:val="left"/>
            </w:pPr>
            <w:r>
              <w:rPr>
                <w:rFonts w:ascii="Calibri" w:hAnsi="Calibri"/>
                <w:color w:val="1F2937"/>
                <w:sz w:val="17"/>
              </w:rPr>
              <w:t>Project Scope (Target Personas, Input Telemetry &amp; Operational Boundaries)</w:t>
            </w:r>
          </w:p>
        </w:tc>
        <w:tc>
          <w:tcPr>
            <w:tcW w:type="dxa" w:w="1440"/>
            <w:shd w:fill="F8FAFC"/>
            <w:tcMar>
              <w:top w:w="45" w:type="dxa"/>
              <w:bottom w:w="45" w:type="dxa"/>
              <w:left w:w="80" w:type="dxa"/>
              <w:right w:w="80" w:type="dxa"/>
            </w:tcMar>
          </w:tcPr>
          <w:p>
            <w:pPr>
              <w:spacing w:after="0"/>
              <w:jc w:val="center"/>
            </w:pPr>
            <w:r>
              <w:rPr>
                <w:rFonts w:ascii="Calibri" w:hAnsi="Calibri"/>
                <w:color w:val="1F2937"/>
                <w:sz w:val="17"/>
              </w:rPr>
              <w:t>5</w:t>
            </w:r>
          </w:p>
        </w:tc>
      </w:tr>
      <w:tr>
        <w:trPr>
          <w:cantSplit/>
        </w:trPr>
        <w:tc>
          <w:tcPr>
            <w:tcW w:type="dxa" w:w="1008"/>
            <w:shd w:fill="FFFFFF"/>
            <w:tcMar>
              <w:top w:w="45" w:type="dxa"/>
              <w:bottom w:w="45" w:type="dxa"/>
              <w:left w:w="80" w:type="dxa"/>
              <w:right w:w="80" w:type="dxa"/>
            </w:tcMar>
          </w:tcPr>
          <w:p>
            <w:pPr>
              <w:spacing w:after="0"/>
              <w:jc w:val="left"/>
            </w:pPr>
            <w:r>
              <w:rPr>
                <w:rFonts w:ascii="Calibri" w:hAnsi="Calibri"/>
                <w:color w:val="1F2937"/>
                <w:sz w:val="17"/>
              </w:rPr>
              <w:t>5</w:t>
            </w:r>
          </w:p>
        </w:tc>
        <w:tc>
          <w:tcPr>
            <w:tcW w:type="dxa" w:w="7632"/>
            <w:shd w:fill="FFFFFF"/>
            <w:tcMar>
              <w:top w:w="45" w:type="dxa"/>
              <w:bottom w:w="45" w:type="dxa"/>
              <w:left w:w="80" w:type="dxa"/>
              <w:right w:w="80" w:type="dxa"/>
            </w:tcMar>
          </w:tcPr>
          <w:p>
            <w:pPr>
              <w:spacing w:after="0"/>
              <w:jc w:val="left"/>
            </w:pPr>
            <w:r>
              <w:rPr>
                <w:rFonts w:ascii="Calibri" w:hAnsi="Calibri"/>
                <w:color w:val="1F2937"/>
                <w:sz w:val="17"/>
              </w:rPr>
              <w:t>Proposed System / Methodology (Multi-Stage GenAI Pipeline &amp; Logic)</w:t>
            </w:r>
          </w:p>
        </w:tc>
        <w:tc>
          <w:tcPr>
            <w:tcW w:type="dxa" w:w="1440"/>
            <w:shd w:fill="FFFFFF"/>
            <w:tcMar>
              <w:top w:w="45" w:type="dxa"/>
              <w:bottom w:w="45" w:type="dxa"/>
              <w:left w:w="80" w:type="dxa"/>
              <w:right w:w="80" w:type="dxa"/>
            </w:tcMar>
          </w:tcPr>
          <w:p>
            <w:pPr>
              <w:spacing w:after="0"/>
              <w:jc w:val="center"/>
            </w:pPr>
            <w:r>
              <w:rPr>
                <w:rFonts w:ascii="Calibri" w:hAnsi="Calibri"/>
                <w:color w:val="1F2937"/>
                <w:sz w:val="17"/>
              </w:rPr>
              <w:t>5</w:t>
            </w:r>
          </w:p>
        </w:tc>
      </w:tr>
      <w:tr>
        <w:trPr>
          <w:cantSplit/>
        </w:trPr>
        <w:tc>
          <w:tcPr>
            <w:tcW w:type="dxa" w:w="1008"/>
            <w:shd w:fill="F8FAFC"/>
            <w:tcMar>
              <w:top w:w="45" w:type="dxa"/>
              <w:bottom w:w="45" w:type="dxa"/>
              <w:left w:w="80" w:type="dxa"/>
              <w:right w:w="80" w:type="dxa"/>
            </w:tcMar>
          </w:tcPr>
          <w:p>
            <w:pPr>
              <w:spacing w:after="0"/>
              <w:jc w:val="left"/>
            </w:pPr>
            <w:r>
              <w:rPr>
                <w:rFonts w:ascii="Calibri" w:hAnsi="Calibri"/>
                <w:color w:val="1F2937"/>
                <w:sz w:val="17"/>
              </w:rPr>
              <w:t>6</w:t>
            </w:r>
          </w:p>
        </w:tc>
        <w:tc>
          <w:tcPr>
            <w:tcW w:type="dxa" w:w="7632"/>
            <w:shd w:fill="F8FAFC"/>
            <w:tcMar>
              <w:top w:w="45" w:type="dxa"/>
              <w:bottom w:w="45" w:type="dxa"/>
              <w:left w:w="80" w:type="dxa"/>
              <w:right w:w="80" w:type="dxa"/>
            </w:tcMar>
          </w:tcPr>
          <w:p>
            <w:pPr>
              <w:spacing w:after="0"/>
              <w:jc w:val="left"/>
            </w:pPr>
            <w:r>
              <w:rPr>
                <w:rFonts w:ascii="Calibri" w:hAnsi="Calibri"/>
                <w:color w:val="1F2937"/>
                <w:sz w:val="17"/>
              </w:rPr>
              <w:t>System Architecture / Workflow (Decoupled 5-Layer AI Architecture)</w:t>
            </w:r>
          </w:p>
        </w:tc>
        <w:tc>
          <w:tcPr>
            <w:tcW w:type="dxa" w:w="1440"/>
            <w:shd w:fill="F8FAFC"/>
            <w:tcMar>
              <w:top w:w="45" w:type="dxa"/>
              <w:bottom w:w="45" w:type="dxa"/>
              <w:left w:w="80" w:type="dxa"/>
              <w:right w:w="80" w:type="dxa"/>
            </w:tcMar>
          </w:tcPr>
          <w:p>
            <w:pPr>
              <w:spacing w:after="0"/>
              <w:jc w:val="center"/>
            </w:pPr>
            <w:r>
              <w:rPr>
                <w:rFonts w:ascii="Calibri" w:hAnsi="Calibri"/>
                <w:color w:val="1F2937"/>
                <w:sz w:val="17"/>
              </w:rPr>
              <w:t>6</w:t>
            </w:r>
          </w:p>
        </w:tc>
      </w:tr>
      <w:tr>
        <w:trPr>
          <w:cantSplit/>
        </w:trPr>
        <w:tc>
          <w:tcPr>
            <w:tcW w:type="dxa" w:w="1008"/>
            <w:shd w:fill="FFFFFF"/>
            <w:tcMar>
              <w:top w:w="45" w:type="dxa"/>
              <w:bottom w:w="45" w:type="dxa"/>
              <w:left w:w="80" w:type="dxa"/>
              <w:right w:w="80" w:type="dxa"/>
            </w:tcMar>
          </w:tcPr>
          <w:p>
            <w:pPr>
              <w:spacing w:after="0"/>
              <w:jc w:val="left"/>
            </w:pPr>
            <w:r>
              <w:rPr>
                <w:rFonts w:ascii="Calibri" w:hAnsi="Calibri"/>
                <w:color w:val="1F2937"/>
                <w:sz w:val="17"/>
              </w:rPr>
              <w:t>7</w:t>
            </w:r>
          </w:p>
        </w:tc>
        <w:tc>
          <w:tcPr>
            <w:tcW w:type="dxa" w:w="7632"/>
            <w:shd w:fill="FFFFFF"/>
            <w:tcMar>
              <w:top w:w="45" w:type="dxa"/>
              <w:bottom w:w="45" w:type="dxa"/>
              <w:left w:w="80" w:type="dxa"/>
              <w:right w:w="80" w:type="dxa"/>
            </w:tcMar>
          </w:tcPr>
          <w:p>
            <w:pPr>
              <w:spacing w:after="0"/>
              <w:jc w:val="left"/>
            </w:pPr>
            <w:r>
              <w:rPr>
                <w:rFonts w:ascii="Calibri" w:hAnsi="Calibri"/>
                <w:color w:val="1F2937"/>
                <w:sz w:val="17"/>
              </w:rPr>
              <w:t>Implementation (Tech Stack, Few-Shot Prompts &amp; Stochastic Engine)</w:t>
            </w:r>
          </w:p>
        </w:tc>
        <w:tc>
          <w:tcPr>
            <w:tcW w:type="dxa" w:w="1440"/>
            <w:shd w:fill="FFFFFF"/>
            <w:tcMar>
              <w:top w:w="45" w:type="dxa"/>
              <w:bottom w:w="45" w:type="dxa"/>
              <w:left w:w="80" w:type="dxa"/>
              <w:right w:w="80" w:type="dxa"/>
            </w:tcMar>
          </w:tcPr>
          <w:p>
            <w:pPr>
              <w:spacing w:after="0"/>
              <w:jc w:val="center"/>
            </w:pPr>
            <w:r>
              <w:rPr>
                <w:rFonts w:ascii="Calibri" w:hAnsi="Calibri"/>
                <w:color w:val="1F2937"/>
                <w:sz w:val="17"/>
              </w:rPr>
              <w:t>7</w:t>
            </w:r>
          </w:p>
        </w:tc>
      </w:tr>
      <w:tr>
        <w:trPr>
          <w:cantSplit/>
        </w:trPr>
        <w:tc>
          <w:tcPr>
            <w:tcW w:type="dxa" w:w="1008"/>
            <w:shd w:fill="F8FAFC"/>
            <w:tcMar>
              <w:top w:w="45" w:type="dxa"/>
              <w:bottom w:w="45" w:type="dxa"/>
              <w:left w:w="80" w:type="dxa"/>
              <w:right w:w="80" w:type="dxa"/>
            </w:tcMar>
          </w:tcPr>
          <w:p>
            <w:pPr>
              <w:spacing w:after="0"/>
              <w:jc w:val="left"/>
            </w:pPr>
            <w:r>
              <w:rPr>
                <w:rFonts w:ascii="Calibri" w:hAnsi="Calibri"/>
                <w:color w:val="1F2937"/>
                <w:sz w:val="17"/>
              </w:rPr>
              <w:t>8</w:t>
            </w:r>
          </w:p>
        </w:tc>
        <w:tc>
          <w:tcPr>
            <w:tcW w:type="dxa" w:w="7632"/>
            <w:shd w:fill="F8FAFC"/>
            <w:tcMar>
              <w:top w:w="45" w:type="dxa"/>
              <w:bottom w:w="45" w:type="dxa"/>
              <w:left w:w="80" w:type="dxa"/>
              <w:right w:w="80" w:type="dxa"/>
            </w:tcMar>
          </w:tcPr>
          <w:p>
            <w:pPr>
              <w:spacing w:after="0"/>
              <w:jc w:val="left"/>
            </w:pPr>
            <w:r>
              <w:rPr>
                <w:rFonts w:ascii="Calibri" w:hAnsi="Calibri"/>
                <w:color w:val="1F2937"/>
                <w:sz w:val="17"/>
              </w:rPr>
              <w:t>User Interface / Application Screenshots (8.1 to 8.5 Visual Modules)</w:t>
            </w:r>
          </w:p>
        </w:tc>
        <w:tc>
          <w:tcPr>
            <w:tcW w:type="dxa" w:w="1440"/>
            <w:shd w:fill="F8FAFC"/>
            <w:tcMar>
              <w:top w:w="45" w:type="dxa"/>
              <w:bottom w:w="45" w:type="dxa"/>
              <w:left w:w="80" w:type="dxa"/>
              <w:right w:w="80" w:type="dxa"/>
            </w:tcMar>
          </w:tcPr>
          <w:p>
            <w:pPr>
              <w:spacing w:after="0"/>
              <w:jc w:val="center"/>
            </w:pPr>
            <w:r>
              <w:rPr>
                <w:rFonts w:ascii="Calibri" w:hAnsi="Calibri"/>
                <w:color w:val="1F2937"/>
                <w:sz w:val="17"/>
              </w:rPr>
              <w:t>8</w:t>
            </w:r>
          </w:p>
        </w:tc>
      </w:tr>
      <w:tr>
        <w:trPr>
          <w:cantSplit/>
        </w:trPr>
        <w:tc>
          <w:tcPr>
            <w:tcW w:type="dxa" w:w="1008"/>
            <w:shd w:fill="FFFFFF"/>
            <w:tcMar>
              <w:top w:w="45" w:type="dxa"/>
              <w:bottom w:w="45" w:type="dxa"/>
              <w:left w:w="80" w:type="dxa"/>
              <w:right w:w="80" w:type="dxa"/>
            </w:tcMar>
          </w:tcPr>
          <w:p>
            <w:pPr>
              <w:spacing w:after="0"/>
              <w:jc w:val="left"/>
            </w:pPr>
            <w:r>
              <w:rPr>
                <w:rFonts w:ascii="Calibri" w:hAnsi="Calibri"/>
                <w:color w:val="1F2937"/>
                <w:sz w:val="17"/>
              </w:rPr>
              <w:t xml:space="preserve">   8.1</w:t>
            </w:r>
          </w:p>
        </w:tc>
        <w:tc>
          <w:tcPr>
            <w:tcW w:type="dxa" w:w="7632"/>
            <w:shd w:fill="FFFFFF"/>
            <w:tcMar>
              <w:top w:w="45" w:type="dxa"/>
              <w:bottom w:w="45" w:type="dxa"/>
              <w:left w:w="80" w:type="dxa"/>
              <w:right w:w="80" w:type="dxa"/>
            </w:tcMar>
          </w:tcPr>
          <w:p>
            <w:pPr>
              <w:spacing w:after="0"/>
              <w:jc w:val="left"/>
            </w:pPr>
            <w:r>
              <w:rPr>
                <w:rFonts w:ascii="Calibri" w:hAnsi="Calibri"/>
                <w:color w:val="1F2937"/>
                <w:sz w:val="17"/>
              </w:rPr>
              <w:t>GenAI Customer Retention Copilot Interface &amp; Generated Assets</w:t>
            </w:r>
          </w:p>
        </w:tc>
        <w:tc>
          <w:tcPr>
            <w:tcW w:type="dxa" w:w="1440"/>
            <w:shd w:fill="FFFFFF"/>
            <w:tcMar>
              <w:top w:w="45" w:type="dxa"/>
              <w:bottom w:w="45" w:type="dxa"/>
              <w:left w:w="80" w:type="dxa"/>
              <w:right w:w="80" w:type="dxa"/>
            </w:tcMar>
          </w:tcPr>
          <w:p>
            <w:pPr>
              <w:spacing w:after="0"/>
              <w:jc w:val="center"/>
            </w:pPr>
            <w:r>
              <w:rPr>
                <w:rFonts w:ascii="Calibri" w:hAnsi="Calibri"/>
                <w:color w:val="1F2937"/>
                <w:sz w:val="17"/>
              </w:rPr>
              <w:t>8</w:t>
            </w:r>
          </w:p>
        </w:tc>
      </w:tr>
      <w:tr>
        <w:trPr>
          <w:cantSplit/>
        </w:trPr>
        <w:tc>
          <w:tcPr>
            <w:tcW w:type="dxa" w:w="1008"/>
            <w:shd w:fill="F8FAFC"/>
            <w:tcMar>
              <w:top w:w="45" w:type="dxa"/>
              <w:bottom w:w="45" w:type="dxa"/>
              <w:left w:w="80" w:type="dxa"/>
              <w:right w:w="80" w:type="dxa"/>
            </w:tcMar>
          </w:tcPr>
          <w:p>
            <w:pPr>
              <w:spacing w:after="0"/>
              <w:jc w:val="left"/>
            </w:pPr>
            <w:r>
              <w:rPr>
                <w:rFonts w:ascii="Calibri" w:hAnsi="Calibri"/>
                <w:color w:val="1F2937"/>
                <w:sz w:val="17"/>
              </w:rPr>
              <w:t xml:space="preserve">   8.2</w:t>
            </w:r>
          </w:p>
        </w:tc>
        <w:tc>
          <w:tcPr>
            <w:tcW w:type="dxa" w:w="7632"/>
            <w:shd w:fill="F8FAFC"/>
            <w:tcMar>
              <w:top w:w="45" w:type="dxa"/>
              <w:bottom w:w="45" w:type="dxa"/>
              <w:left w:w="80" w:type="dxa"/>
              <w:right w:w="80" w:type="dxa"/>
            </w:tcMar>
          </w:tcPr>
          <w:p>
            <w:pPr>
              <w:spacing w:after="0"/>
              <w:jc w:val="left"/>
            </w:pPr>
            <w:r>
              <w:rPr>
                <w:rFonts w:ascii="Calibri" w:hAnsi="Calibri"/>
                <w:color w:val="1F2937"/>
                <w:sz w:val="17"/>
              </w:rPr>
              <w:t>Single Customer Risk Diagnosis &amp; Speedometer Gauge</w:t>
            </w:r>
          </w:p>
        </w:tc>
        <w:tc>
          <w:tcPr>
            <w:tcW w:type="dxa" w:w="1440"/>
            <w:shd w:fill="F8FAFC"/>
            <w:tcMar>
              <w:top w:w="45" w:type="dxa"/>
              <w:bottom w:w="45" w:type="dxa"/>
              <w:left w:w="80" w:type="dxa"/>
              <w:right w:w="80" w:type="dxa"/>
            </w:tcMar>
          </w:tcPr>
          <w:p>
            <w:pPr>
              <w:spacing w:after="0"/>
              <w:jc w:val="center"/>
            </w:pPr>
            <w:r>
              <w:rPr>
                <w:rFonts w:ascii="Calibri" w:hAnsi="Calibri"/>
                <w:color w:val="1F2937"/>
                <w:sz w:val="17"/>
              </w:rPr>
              <w:t>9</w:t>
            </w:r>
          </w:p>
        </w:tc>
      </w:tr>
      <w:tr>
        <w:trPr>
          <w:cantSplit/>
        </w:trPr>
        <w:tc>
          <w:tcPr>
            <w:tcW w:type="dxa" w:w="1008"/>
            <w:shd w:fill="FFFFFF"/>
            <w:tcMar>
              <w:top w:w="45" w:type="dxa"/>
              <w:bottom w:w="45" w:type="dxa"/>
              <w:left w:w="80" w:type="dxa"/>
              <w:right w:w="80" w:type="dxa"/>
            </w:tcMar>
          </w:tcPr>
          <w:p>
            <w:pPr>
              <w:spacing w:after="0"/>
              <w:jc w:val="left"/>
            </w:pPr>
            <w:r>
              <w:rPr>
                <w:rFonts w:ascii="Calibri" w:hAnsi="Calibri"/>
                <w:color w:val="1F2937"/>
                <w:sz w:val="17"/>
              </w:rPr>
              <w:t xml:space="preserve">   8.3</w:t>
            </w:r>
          </w:p>
        </w:tc>
        <w:tc>
          <w:tcPr>
            <w:tcW w:type="dxa" w:w="7632"/>
            <w:shd w:fill="FFFFFF"/>
            <w:tcMar>
              <w:top w:w="45" w:type="dxa"/>
              <w:bottom w:w="45" w:type="dxa"/>
              <w:left w:w="80" w:type="dxa"/>
              <w:right w:w="80" w:type="dxa"/>
            </w:tcMar>
          </w:tcPr>
          <w:p>
            <w:pPr>
              <w:spacing w:after="0"/>
              <w:jc w:val="left"/>
            </w:pPr>
            <w:r>
              <w:rPr>
                <w:rFonts w:ascii="Calibri" w:hAnsi="Calibri"/>
                <w:color w:val="1F2937"/>
                <w:sz w:val="17"/>
              </w:rPr>
              <w:t>What-If Retention Strategy Simulator &amp; Interactive Sandbox</w:t>
            </w:r>
          </w:p>
        </w:tc>
        <w:tc>
          <w:tcPr>
            <w:tcW w:type="dxa" w:w="1440"/>
            <w:shd w:fill="FFFFFF"/>
            <w:tcMar>
              <w:top w:w="45" w:type="dxa"/>
              <w:bottom w:w="45" w:type="dxa"/>
              <w:left w:w="80" w:type="dxa"/>
              <w:right w:w="80" w:type="dxa"/>
            </w:tcMar>
          </w:tcPr>
          <w:p>
            <w:pPr>
              <w:spacing w:after="0"/>
              <w:jc w:val="center"/>
            </w:pPr>
            <w:r>
              <w:rPr>
                <w:rFonts w:ascii="Calibri" w:hAnsi="Calibri"/>
                <w:color w:val="1F2937"/>
                <w:sz w:val="17"/>
              </w:rPr>
              <w:t>10</w:t>
            </w:r>
          </w:p>
        </w:tc>
      </w:tr>
      <w:tr>
        <w:trPr>
          <w:cantSplit/>
        </w:trPr>
        <w:tc>
          <w:tcPr>
            <w:tcW w:type="dxa" w:w="1008"/>
            <w:shd w:fill="F8FAFC"/>
            <w:tcMar>
              <w:top w:w="45" w:type="dxa"/>
              <w:bottom w:w="45" w:type="dxa"/>
              <w:left w:w="80" w:type="dxa"/>
              <w:right w:w="80" w:type="dxa"/>
            </w:tcMar>
          </w:tcPr>
          <w:p>
            <w:pPr>
              <w:spacing w:after="0"/>
              <w:jc w:val="left"/>
            </w:pPr>
            <w:r>
              <w:rPr>
                <w:rFonts w:ascii="Calibri" w:hAnsi="Calibri"/>
                <w:color w:val="1F2937"/>
                <w:sz w:val="17"/>
              </w:rPr>
              <w:t xml:space="preserve">   8.4</w:t>
            </w:r>
          </w:p>
        </w:tc>
        <w:tc>
          <w:tcPr>
            <w:tcW w:type="dxa" w:w="7632"/>
            <w:shd w:fill="F8FAFC"/>
            <w:tcMar>
              <w:top w:w="45" w:type="dxa"/>
              <w:bottom w:w="45" w:type="dxa"/>
              <w:left w:w="80" w:type="dxa"/>
              <w:right w:w="80" w:type="dxa"/>
            </w:tcMar>
          </w:tcPr>
          <w:p>
            <w:pPr>
              <w:spacing w:after="0"/>
              <w:jc w:val="left"/>
            </w:pPr>
            <w:r>
              <w:rPr>
                <w:rFonts w:ascii="Calibri" w:hAnsi="Calibri"/>
                <w:color w:val="1F2937"/>
                <w:sz w:val="17"/>
              </w:rPr>
              <w:t>Batch Cohort Scoring &amp; Prioritized Action Queue</w:t>
            </w:r>
          </w:p>
        </w:tc>
        <w:tc>
          <w:tcPr>
            <w:tcW w:type="dxa" w:w="1440"/>
            <w:shd w:fill="F8FAFC"/>
            <w:tcMar>
              <w:top w:w="45" w:type="dxa"/>
              <w:bottom w:w="45" w:type="dxa"/>
              <w:left w:w="80" w:type="dxa"/>
              <w:right w:w="80" w:type="dxa"/>
            </w:tcMar>
          </w:tcPr>
          <w:p>
            <w:pPr>
              <w:spacing w:after="0"/>
              <w:jc w:val="center"/>
            </w:pPr>
            <w:r>
              <w:rPr>
                <w:rFonts w:ascii="Calibri" w:hAnsi="Calibri"/>
                <w:color w:val="1F2937"/>
                <w:sz w:val="17"/>
              </w:rPr>
              <w:t>11</w:t>
            </w:r>
          </w:p>
        </w:tc>
      </w:tr>
      <w:tr>
        <w:trPr>
          <w:cantSplit/>
        </w:trPr>
        <w:tc>
          <w:tcPr>
            <w:tcW w:type="dxa" w:w="1008"/>
            <w:shd w:fill="FFFFFF"/>
            <w:tcMar>
              <w:top w:w="45" w:type="dxa"/>
              <w:bottom w:w="45" w:type="dxa"/>
              <w:left w:w="80" w:type="dxa"/>
              <w:right w:w="80" w:type="dxa"/>
            </w:tcMar>
          </w:tcPr>
          <w:p>
            <w:pPr>
              <w:spacing w:after="0"/>
              <w:jc w:val="left"/>
            </w:pPr>
            <w:r>
              <w:rPr>
                <w:rFonts w:ascii="Calibri" w:hAnsi="Calibri"/>
                <w:color w:val="1F2937"/>
                <w:sz w:val="17"/>
              </w:rPr>
              <w:t xml:space="preserve">   8.5</w:t>
            </w:r>
          </w:p>
        </w:tc>
        <w:tc>
          <w:tcPr>
            <w:tcW w:type="dxa" w:w="7632"/>
            <w:shd w:fill="FFFFFF"/>
            <w:tcMar>
              <w:top w:w="45" w:type="dxa"/>
              <w:bottom w:w="45" w:type="dxa"/>
              <w:left w:w="80" w:type="dxa"/>
              <w:right w:w="80" w:type="dxa"/>
            </w:tcMar>
          </w:tcPr>
          <w:p>
            <w:pPr>
              <w:spacing w:after="0"/>
              <w:jc w:val="left"/>
            </w:pPr>
            <w:r>
              <w:rPr>
                <w:rFonts w:ascii="Calibri" w:hAnsi="Calibri"/>
                <w:color w:val="1F2937"/>
                <w:sz w:val="17"/>
              </w:rPr>
              <w:t>Executive Cohort Analytics &amp; Macro EDA Dashboard</w:t>
            </w:r>
          </w:p>
        </w:tc>
        <w:tc>
          <w:tcPr>
            <w:tcW w:type="dxa" w:w="1440"/>
            <w:shd w:fill="FFFFFF"/>
            <w:tcMar>
              <w:top w:w="45" w:type="dxa"/>
              <w:bottom w:w="45" w:type="dxa"/>
              <w:left w:w="80" w:type="dxa"/>
              <w:right w:w="80" w:type="dxa"/>
            </w:tcMar>
          </w:tcPr>
          <w:p>
            <w:pPr>
              <w:spacing w:after="0"/>
              <w:jc w:val="center"/>
            </w:pPr>
            <w:r>
              <w:rPr>
                <w:rFonts w:ascii="Calibri" w:hAnsi="Calibri"/>
                <w:color w:val="1F2937"/>
                <w:sz w:val="17"/>
              </w:rPr>
              <w:t>12</w:t>
            </w:r>
          </w:p>
        </w:tc>
      </w:tr>
      <w:tr>
        <w:trPr>
          <w:cantSplit/>
        </w:trPr>
        <w:tc>
          <w:tcPr>
            <w:tcW w:type="dxa" w:w="1008"/>
            <w:shd w:fill="F8FAFC"/>
            <w:tcMar>
              <w:top w:w="45" w:type="dxa"/>
              <w:bottom w:w="45" w:type="dxa"/>
              <w:left w:w="80" w:type="dxa"/>
              <w:right w:w="80" w:type="dxa"/>
            </w:tcMar>
          </w:tcPr>
          <w:p>
            <w:pPr>
              <w:spacing w:after="0"/>
              <w:jc w:val="left"/>
            </w:pPr>
            <w:r>
              <w:rPr>
                <w:rFonts w:ascii="Calibri" w:hAnsi="Calibri"/>
                <w:color w:val="1F2937"/>
                <w:sz w:val="17"/>
              </w:rPr>
              <w:t>9</w:t>
            </w:r>
          </w:p>
        </w:tc>
        <w:tc>
          <w:tcPr>
            <w:tcW w:type="dxa" w:w="7632"/>
            <w:shd w:fill="F8FAFC"/>
            <w:tcMar>
              <w:top w:w="45" w:type="dxa"/>
              <w:bottom w:w="45" w:type="dxa"/>
              <w:left w:w="80" w:type="dxa"/>
              <w:right w:w="80" w:type="dxa"/>
            </w:tcMar>
          </w:tcPr>
          <w:p>
            <w:pPr>
              <w:spacing w:after="0"/>
              <w:jc w:val="left"/>
            </w:pPr>
            <w:r>
              <w:rPr>
                <w:rFonts w:ascii="Calibri" w:hAnsi="Calibri"/>
                <w:color w:val="1F2937"/>
                <w:sz w:val="17"/>
              </w:rPr>
              <w:t>Challenges and Limitations (Engineering Solutions &amp; Scope Limits)</w:t>
            </w:r>
          </w:p>
        </w:tc>
        <w:tc>
          <w:tcPr>
            <w:tcW w:type="dxa" w:w="1440"/>
            <w:shd w:fill="F8FAFC"/>
            <w:tcMar>
              <w:top w:w="45" w:type="dxa"/>
              <w:bottom w:w="45" w:type="dxa"/>
              <w:left w:w="80" w:type="dxa"/>
              <w:right w:w="80" w:type="dxa"/>
            </w:tcMar>
          </w:tcPr>
          <w:p>
            <w:pPr>
              <w:spacing w:after="0"/>
              <w:jc w:val="center"/>
            </w:pPr>
            <w:r>
              <w:rPr>
                <w:rFonts w:ascii="Calibri" w:hAnsi="Calibri"/>
                <w:color w:val="1F2937"/>
                <w:sz w:val="17"/>
              </w:rPr>
              <w:t>13</w:t>
            </w:r>
          </w:p>
        </w:tc>
      </w:tr>
      <w:tr>
        <w:trPr>
          <w:cantSplit/>
        </w:trPr>
        <w:tc>
          <w:tcPr>
            <w:tcW w:type="dxa" w:w="1008"/>
            <w:shd w:fill="FFFFFF"/>
            <w:tcMar>
              <w:top w:w="45" w:type="dxa"/>
              <w:bottom w:w="45" w:type="dxa"/>
              <w:left w:w="80" w:type="dxa"/>
              <w:right w:w="80" w:type="dxa"/>
            </w:tcMar>
          </w:tcPr>
          <w:p>
            <w:pPr>
              <w:spacing w:after="0"/>
              <w:jc w:val="left"/>
            </w:pPr>
            <w:r>
              <w:rPr>
                <w:rFonts w:ascii="Calibri" w:hAnsi="Calibri"/>
                <w:color w:val="1F2937"/>
                <w:sz w:val="17"/>
              </w:rPr>
              <w:t>10</w:t>
            </w:r>
          </w:p>
        </w:tc>
        <w:tc>
          <w:tcPr>
            <w:tcW w:type="dxa" w:w="7632"/>
            <w:shd w:fill="FFFFFF"/>
            <w:tcMar>
              <w:top w:w="45" w:type="dxa"/>
              <w:bottom w:w="45" w:type="dxa"/>
              <w:left w:w="80" w:type="dxa"/>
              <w:right w:w="80" w:type="dxa"/>
            </w:tcMar>
          </w:tcPr>
          <w:p>
            <w:pPr>
              <w:spacing w:after="0"/>
              <w:jc w:val="left"/>
            </w:pPr>
            <w:r>
              <w:rPr>
                <w:rFonts w:ascii="Calibri" w:hAnsi="Calibri"/>
                <w:color w:val="1F2937"/>
                <w:sz w:val="17"/>
              </w:rPr>
              <w:t>Conclusion (Key Findings, Operational Utility &amp; Academic Learnings)</w:t>
            </w:r>
          </w:p>
        </w:tc>
        <w:tc>
          <w:tcPr>
            <w:tcW w:type="dxa" w:w="1440"/>
            <w:shd w:fill="FFFFFF"/>
            <w:tcMar>
              <w:top w:w="45" w:type="dxa"/>
              <w:bottom w:w="45" w:type="dxa"/>
              <w:left w:w="80" w:type="dxa"/>
              <w:right w:w="80" w:type="dxa"/>
            </w:tcMar>
          </w:tcPr>
          <w:p>
            <w:pPr>
              <w:spacing w:after="0"/>
              <w:jc w:val="center"/>
            </w:pPr>
            <w:r>
              <w:rPr>
                <w:rFonts w:ascii="Calibri" w:hAnsi="Calibri"/>
                <w:color w:val="1F2937"/>
                <w:sz w:val="17"/>
              </w:rPr>
              <w:t>13</w:t>
            </w:r>
          </w:p>
        </w:tc>
      </w:tr>
      <w:tr>
        <w:trPr>
          <w:cantSplit/>
        </w:trPr>
        <w:tc>
          <w:tcPr>
            <w:tcW w:type="dxa" w:w="1008"/>
            <w:shd w:fill="F8FAFC"/>
            <w:tcMar>
              <w:top w:w="45" w:type="dxa"/>
              <w:bottom w:w="45" w:type="dxa"/>
              <w:left w:w="80" w:type="dxa"/>
              <w:right w:w="80" w:type="dxa"/>
            </w:tcMar>
          </w:tcPr>
          <w:p>
            <w:pPr>
              <w:spacing w:after="0"/>
              <w:jc w:val="left"/>
            </w:pPr>
            <w:r>
              <w:rPr>
                <w:rFonts w:ascii="Calibri" w:hAnsi="Calibri"/>
                <w:color w:val="1F2937"/>
                <w:sz w:val="17"/>
              </w:rPr>
              <w:t>11</w:t>
            </w:r>
          </w:p>
        </w:tc>
        <w:tc>
          <w:tcPr>
            <w:tcW w:type="dxa" w:w="7632"/>
            <w:shd w:fill="F8FAFC"/>
            <w:tcMar>
              <w:top w:w="45" w:type="dxa"/>
              <w:bottom w:w="45" w:type="dxa"/>
              <w:left w:w="80" w:type="dxa"/>
              <w:right w:w="80" w:type="dxa"/>
            </w:tcMar>
          </w:tcPr>
          <w:p>
            <w:pPr>
              <w:spacing w:after="0"/>
              <w:jc w:val="left"/>
            </w:pPr>
            <w:r>
              <w:rPr>
                <w:rFonts w:ascii="Calibri" w:hAnsi="Calibri"/>
                <w:color w:val="1F2937"/>
                <w:sz w:val="17"/>
              </w:rPr>
              <w:t>Future Scope (Multimodal Ingestion, Fine-Tuning &amp; Autonomous CRM)</w:t>
            </w:r>
          </w:p>
        </w:tc>
        <w:tc>
          <w:tcPr>
            <w:tcW w:type="dxa" w:w="1440"/>
            <w:shd w:fill="F8FAFC"/>
            <w:tcMar>
              <w:top w:w="45" w:type="dxa"/>
              <w:bottom w:w="45" w:type="dxa"/>
              <w:left w:w="80" w:type="dxa"/>
              <w:right w:w="80" w:type="dxa"/>
            </w:tcMar>
          </w:tcPr>
          <w:p>
            <w:pPr>
              <w:spacing w:after="0"/>
              <w:jc w:val="center"/>
            </w:pPr>
            <w:r>
              <w:rPr>
                <w:rFonts w:ascii="Calibri" w:hAnsi="Calibri"/>
                <w:color w:val="1F2937"/>
                <w:sz w:val="17"/>
              </w:rPr>
              <w:t>14</w:t>
            </w:r>
          </w:p>
        </w:tc>
      </w:tr>
      <w:tr>
        <w:trPr>
          <w:cantSplit/>
        </w:trPr>
        <w:tc>
          <w:tcPr>
            <w:tcW w:type="dxa" w:w="1008"/>
            <w:shd w:fill="FFFFFF"/>
            <w:tcMar>
              <w:top w:w="45" w:type="dxa"/>
              <w:bottom w:w="45" w:type="dxa"/>
              <w:left w:w="80" w:type="dxa"/>
              <w:right w:w="80" w:type="dxa"/>
            </w:tcMar>
          </w:tcPr>
          <w:p>
            <w:pPr>
              <w:spacing w:after="0"/>
              <w:jc w:val="left"/>
            </w:pPr>
            <w:r>
              <w:rPr>
                <w:rFonts w:ascii="Calibri" w:hAnsi="Calibri"/>
                <w:color w:val="1F2937"/>
                <w:sz w:val="17"/>
              </w:rPr>
              <w:t>12</w:t>
            </w:r>
          </w:p>
        </w:tc>
        <w:tc>
          <w:tcPr>
            <w:tcW w:type="dxa" w:w="7632"/>
            <w:shd w:fill="FFFFFF"/>
            <w:tcMar>
              <w:top w:w="45" w:type="dxa"/>
              <w:bottom w:w="45" w:type="dxa"/>
              <w:left w:w="80" w:type="dxa"/>
              <w:right w:w="80" w:type="dxa"/>
            </w:tcMar>
          </w:tcPr>
          <w:p>
            <w:pPr>
              <w:spacing w:after="0"/>
              <w:jc w:val="left"/>
            </w:pPr>
            <w:r>
              <w:rPr>
                <w:rFonts w:ascii="Calibri" w:hAnsi="Calibri"/>
                <w:color w:val="1F2937"/>
                <w:sz w:val="17"/>
              </w:rPr>
              <w:t>References (Literature &amp; Framework Documentation)</w:t>
            </w:r>
          </w:p>
        </w:tc>
        <w:tc>
          <w:tcPr>
            <w:tcW w:type="dxa" w:w="1440"/>
            <w:shd w:fill="FFFFFF"/>
            <w:tcMar>
              <w:top w:w="45" w:type="dxa"/>
              <w:bottom w:w="45" w:type="dxa"/>
              <w:left w:w="80" w:type="dxa"/>
              <w:right w:w="80" w:type="dxa"/>
            </w:tcMar>
          </w:tcPr>
          <w:p>
            <w:pPr>
              <w:spacing w:after="0"/>
              <w:jc w:val="center"/>
            </w:pPr>
            <w:r>
              <w:rPr>
                <w:rFonts w:ascii="Calibri" w:hAnsi="Calibri"/>
                <w:color w:val="1F2937"/>
                <w:sz w:val="17"/>
              </w:rPr>
              <w:t>14</w:t>
            </w:r>
          </w:p>
        </w:tc>
      </w:tr>
    </w:tbl>
    <w:p>
      <w:pPr>
        <w:spacing w:after="120"/>
      </w:pPr>
    </w:p>
    <w:tbl>
      <w:tblPr>
        <w:tblW w:type="auto" w:w="0"/>
        <w:jc w:val="center"/>
        <w:tblLook w:firstColumn="1" w:firstRow="1" w:lastColumn="0" w:lastRow="0" w:noHBand="0" w:noVBand="1" w:val="04A0"/>
      </w:tblPr>
      <w:tblGrid>
        <w:gridCol w:w="10080"/>
      </w:tblGrid>
      <w:tr>
        <w:trPr>
          <w:cantSplit/>
        </w:trPr>
        <w:tc>
          <w:tcPr>
            <w:tcW w:type="dxa" w:w="10080"/>
            <w:shd w:fill="EFF6FF"/>
            <w:tcMar>
              <w:top w:w="90" w:type="dxa"/>
              <w:bottom w:w="90" w:type="dxa"/>
              <w:left w:w="140" w:type="dxa"/>
              <w:right w:w="140" w:type="dxa"/>
            </w:tcMar>
            <w:tcBorders>
              <w:top w:val="none"/>
              <w:left w:val="single" w:sz="24" w:space="0" w:color="2563EB"/>
              <w:bottom w:val="none"/>
              <w:right w:val="none"/>
            </w:tcBorders>
          </w:tcPr>
          <w:p>
            <w:pPr>
              <w:spacing w:after="0" w:line="264" w:lineRule="auto"/>
            </w:pPr>
            <w:r>
              <w:rPr>
                <w:rFonts w:ascii="Calibri" w:hAnsi="Calibri"/>
                <w:b/>
                <w:color w:val="1E3A8A"/>
                <w:sz w:val="19"/>
              </w:rPr>
              <w:t xml:space="preserve">EXECUTIVE SUMMARY: </w:t>
            </w:r>
            <w:r>
              <w:rPr>
                <w:rFonts w:ascii="Calibri" w:hAnsi="Calibri"/>
                <w:color w:val="1E3A8A"/>
                <w:sz w:val="19"/>
              </w:rPr>
              <w:t>TelcoPulse AI represents a hybrid AI architecture that couples predictive machine learning risk telemetry with modern Large Language Model (LLM) natural language synthesis to automate enterprise customer retention operations.</w:t>
            </w:r>
          </w:p>
        </w:tc>
      </w:tr>
    </w:tbl>
    <w:p>
      <w:pPr>
        <w:spacing w:after="80"/>
      </w:pPr>
    </w:p>
    <w:p>
      <w:r>
        <w:br w:type="page"/>
      </w:r>
    </w:p>
    <w:p>
      <w:pPr>
        <w:pStyle w:val="Heading1"/>
        <w:keepNext/>
        <w:spacing w:before="0" w:after="80"/>
      </w:pPr>
      <w:r>
        <w:rPr>
          <w:rFonts w:ascii="Calibri" w:hAnsi="Calibri"/>
          <w:b/>
          <w:color w:val="1E3A8A"/>
          <w:sz w:val="28"/>
        </w:rPr>
        <w:t>1. Introduction</w:t>
      </w:r>
    </w:p>
    <w:p>
      <w:pPr>
        <w:keepNext w:val="0"/>
        <w:spacing w:before="0" w:after="60" w:line="269" w:lineRule="auto"/>
      </w:pPr>
      <w:r>
        <w:rPr>
          <w:rFonts w:ascii="Calibri" w:hAnsi="Calibri"/>
          <w:color w:val="374151"/>
          <w:sz w:val="20"/>
        </w:rPr>
        <w:t>TelcoPulse AI is an enterprise-grade Generative Artificial Intelligence (GenAI) application engineered to automate, personalize, and accelerate customer retention and win-back operations for modern telecommunication service providers.</w:t>
      </w:r>
    </w:p>
    <w:p>
      <w:pPr>
        <w:pStyle w:val="Heading2"/>
        <w:keepNext/>
        <w:spacing w:before="120" w:after="40"/>
      </w:pPr>
      <w:r>
        <w:rPr>
          <w:rFonts w:ascii="Calibri" w:hAnsi="Calibri"/>
          <w:b/>
          <w:color w:val="2563EB"/>
          <w:sz w:val="23"/>
        </w:rPr>
        <w:t>1.1 Application Overview &amp; Real-World Purpose</w:t>
      </w:r>
    </w:p>
    <w:p>
      <w:pPr>
        <w:keepNext w:val="0"/>
        <w:spacing w:before="0" w:after="60" w:line="269" w:lineRule="auto"/>
      </w:pPr>
      <w:r>
        <w:rPr>
          <w:rFonts w:ascii="Calibri" w:hAnsi="Calibri"/>
          <w:color w:val="374151"/>
          <w:sz w:val="20"/>
        </w:rPr>
        <w:t>In the hyper-competitive telecommunications sector, subscriber defection costs operators billions of dollars annually in lost recurring subscription revenue. Acquiring a replacement customer is 5 to 7 times more expensive than retaining an existing subscriber. However, legacy retention workflows rely heavily on generic, broadcast email blasts and uniform discounts that fail to address the specific root causes driving individual subscribers away. TelcoPulse AI solves this critical industry bottleneck by acting as an intelligent Retention Copilot that dynamically synthesizes complex subscriber account telemetry into empathetic, high-converting win-back communications and live call-center agent negotiation playbooks.</w:t>
      </w:r>
    </w:p>
    <w:p>
      <w:pPr>
        <w:pStyle w:val="Heading2"/>
        <w:keepNext/>
        <w:spacing w:before="120" w:after="40"/>
      </w:pPr>
      <w:r>
        <w:rPr>
          <w:rFonts w:ascii="Calibri" w:hAnsi="Calibri"/>
          <w:b/>
          <w:color w:val="2563EB"/>
          <w:sz w:val="23"/>
        </w:rPr>
        <w:t>1.2 Role of Generative AI in the Application</w:t>
      </w:r>
    </w:p>
    <w:p>
      <w:pPr>
        <w:keepNext w:val="0"/>
        <w:spacing w:before="0" w:after="60" w:line="269" w:lineRule="auto"/>
      </w:pPr>
      <w:r>
        <w:rPr>
          <w:rFonts w:ascii="Calibri" w:hAnsi="Calibri"/>
          <w:color w:val="374151"/>
          <w:sz w:val="20"/>
        </w:rPr>
        <w:t>Generative AI serves as the central cognitive synthesis engine in TelcoPulse AI. Operating downstream of predictive machine learning risk scoring, the GenAI engine processes multidimensional customer telemetry (tenure, monthly billing rate, contract status, fiber optic service friction, and tech support adoption) to generate:</w:t>
      </w:r>
    </w:p>
    <w:p>
      <w:pPr>
        <w:pStyle w:val="ListBullet"/>
        <w:spacing w:before="0" w:after="50" w:line="269" w:lineRule="auto"/>
      </w:pPr>
      <w:r>
        <w:rPr>
          <w:rFonts w:ascii="Calibri" w:hAnsi="Calibri"/>
          <w:b/>
          <w:color w:val="1F2937"/>
          <w:sz w:val="20"/>
        </w:rPr>
        <w:t xml:space="preserve">Personalized Customer Communications: </w:t>
      </w:r>
      <w:r>
        <w:rPr>
          <w:rFonts w:ascii="Calibri" w:hAnsi="Calibri"/>
          <w:color w:val="374151"/>
          <w:sz w:val="20"/>
        </w:rPr>
        <w:t>High-converting, empathetic emails and concise SMS flash alerts customized to the subscriber's exact churn drivers and tenure.</w:t>
      </w:r>
    </w:p>
    <w:p>
      <w:pPr>
        <w:pStyle w:val="ListBullet"/>
        <w:spacing w:before="0" w:after="50" w:line="269" w:lineRule="auto"/>
      </w:pPr>
      <w:r>
        <w:rPr>
          <w:rFonts w:ascii="Calibri" w:hAnsi="Calibri"/>
          <w:b/>
          <w:color w:val="1F2937"/>
          <w:sz w:val="20"/>
        </w:rPr>
        <w:t xml:space="preserve">Real-Time Agent Negotiation Scripts: </w:t>
      </w:r>
      <w:r>
        <w:rPr>
          <w:rFonts w:ascii="Calibri" w:hAnsi="Calibri"/>
          <w:color w:val="374151"/>
          <w:sz w:val="20"/>
        </w:rPr>
        <w:t>Step-by-step objection handling dialogues, opening rapport hooks, and counter-offer scripts for frontline call center agents.</w:t>
      </w:r>
    </w:p>
    <w:p>
      <w:pPr>
        <w:pStyle w:val="ListBullet"/>
        <w:spacing w:before="0" w:after="50" w:line="269" w:lineRule="auto"/>
      </w:pPr>
      <w:r>
        <w:rPr>
          <w:rFonts w:ascii="Calibri" w:hAnsi="Calibri"/>
          <w:b/>
          <w:color w:val="1F2937"/>
          <w:sz w:val="20"/>
        </w:rPr>
        <w:t xml:space="preserve">Tailored Retention Concession Matrix: </w:t>
      </w:r>
      <w:r>
        <w:rPr>
          <w:rFonts w:ascii="Calibri" w:hAnsi="Calibri"/>
          <w:color w:val="374151"/>
          <w:sz w:val="20"/>
        </w:rPr>
        <w:t>Multi-tiered concession hierarchies (monthly bill reductions, complimentary security bundles, auto-pay credits) that maximize retention likelihood while safeguarding profit margins.</w:t>
      </w:r>
    </w:p>
    <w:p>
      <w:pPr>
        <w:pStyle w:val="ListBullet"/>
        <w:spacing w:before="0" w:after="50" w:line="269" w:lineRule="auto"/>
      </w:pPr>
      <w:r>
        <w:rPr>
          <w:rFonts w:ascii="Calibri" w:hAnsi="Calibri"/>
          <w:b/>
          <w:color w:val="1F2937"/>
          <w:sz w:val="20"/>
        </w:rPr>
        <w:t xml:space="preserve">Structured CRM Integration Payloads: </w:t>
      </w:r>
      <w:r>
        <w:rPr>
          <w:rFonts w:ascii="Calibri" w:hAnsi="Calibri"/>
          <w:color w:val="374151"/>
          <w:sz w:val="20"/>
        </w:rPr>
        <w:t>Formatted, schema-validated JSON objects prepared for immediate automated dispatch into enterprise CRMs (Salesforce, SAP CX, Zendesk).</w:t>
      </w:r>
    </w:p>
    <w:p>
      <w:pPr>
        <w:pStyle w:val="Heading2"/>
        <w:keepNext/>
        <w:spacing w:before="120" w:after="40"/>
      </w:pPr>
      <w:r>
        <w:rPr>
          <w:rFonts w:ascii="Calibri" w:hAnsi="Calibri"/>
          <w:b/>
          <w:color w:val="2563EB"/>
          <w:sz w:val="23"/>
        </w:rPr>
        <w:t>1.3 Type of AI-Generated Output Produced</w:t>
      </w:r>
    </w:p>
    <w:p>
      <w:pPr>
        <w:keepNext w:val="0"/>
        <w:spacing w:before="0" w:after="60" w:line="269" w:lineRule="auto"/>
      </w:pPr>
      <w:r>
        <w:rPr>
          <w:rFonts w:ascii="Calibri" w:hAnsi="Calibri"/>
          <w:color w:val="374151"/>
          <w:sz w:val="20"/>
        </w:rPr>
        <w:t>The platform delivers rich multimodal text and structured business intelligence assets across four dedicated operational outputs: fully formatted customer outreach emails, SMS alerts, interactive agent objection dialogue trees, tiered concession financial matrices, and machine-readable JSON payloads.</w:t>
      </w:r>
    </w:p>
    <w:p>
      <w:pPr>
        <w:pStyle w:val="Heading2"/>
        <w:keepNext/>
        <w:spacing w:before="120" w:after="40"/>
      </w:pPr>
      <w:r>
        <w:rPr>
          <w:rFonts w:ascii="Calibri" w:hAnsi="Calibri"/>
          <w:b/>
          <w:color w:val="2563EB"/>
          <w:sz w:val="23"/>
        </w:rPr>
        <w:t>1.4 Key Features of the Application</w:t>
      </w:r>
    </w:p>
    <w:p>
      <w:pPr>
        <w:pStyle w:val="ListBullet"/>
        <w:spacing w:before="0" w:after="50" w:line="269" w:lineRule="auto"/>
      </w:pPr>
      <w:r>
        <w:rPr>
          <w:rFonts w:ascii="Calibri" w:hAnsi="Calibri"/>
          <w:b/>
          <w:color w:val="1F2937"/>
          <w:sz w:val="20"/>
        </w:rPr>
        <w:t xml:space="preserve">1. GenAI Win-Back Campaign Copilot: </w:t>
      </w:r>
      <w:r>
        <w:rPr>
          <w:rFonts w:ascii="Calibri" w:hAnsi="Calibri"/>
          <w:color w:val="374151"/>
          <w:sz w:val="20"/>
        </w:rPr>
        <w:t>Automated creation of context-specific customer communications tailored to account tenure, monthly charges, and risk drivers.</w:t>
      </w:r>
    </w:p>
    <w:p>
      <w:pPr>
        <w:pStyle w:val="ListBullet"/>
        <w:spacing w:before="0" w:after="50" w:line="269" w:lineRule="auto"/>
      </w:pPr>
      <w:r>
        <w:rPr>
          <w:rFonts w:ascii="Calibri" w:hAnsi="Calibri"/>
          <w:b/>
          <w:color w:val="1F2937"/>
          <w:sz w:val="20"/>
        </w:rPr>
        <w:t xml:space="preserve">2. Frontline Agent Negotiation Assistant: </w:t>
      </w:r>
      <w:r>
        <w:rPr>
          <w:rFonts w:ascii="Calibri" w:hAnsi="Calibri"/>
          <w:color w:val="374151"/>
          <w:sz w:val="20"/>
        </w:rPr>
        <w:t>Equips frontline customer service representatives with real-time empathetic objection rebuttals during live customer calls.</w:t>
      </w:r>
    </w:p>
    <w:p>
      <w:pPr>
        <w:pStyle w:val="ListBullet"/>
        <w:spacing w:before="0" w:after="50" w:line="269" w:lineRule="auto"/>
      </w:pPr>
      <w:r>
        <w:rPr>
          <w:rFonts w:ascii="Calibri" w:hAnsi="Calibri"/>
          <w:b/>
          <w:color w:val="1F2937"/>
          <w:sz w:val="20"/>
        </w:rPr>
        <w:t xml:space="preserve">3. Concession &amp; Incentive Hierarchy Engine: </w:t>
      </w:r>
      <w:r>
        <w:rPr>
          <w:rFonts w:ascii="Calibri" w:hAnsi="Calibri"/>
          <w:color w:val="374151"/>
          <w:sz w:val="20"/>
        </w:rPr>
        <w:t>Recommends four progressive concession tiers (monthly discount, tech support bundle, contract extension, auto-pay credit).</w:t>
      </w:r>
    </w:p>
    <w:p>
      <w:pPr>
        <w:pStyle w:val="ListBullet"/>
        <w:spacing w:before="0" w:after="50" w:line="269" w:lineRule="auto"/>
      </w:pPr>
      <w:r>
        <w:rPr>
          <w:rFonts w:ascii="Calibri" w:hAnsi="Calibri"/>
          <w:b/>
          <w:color w:val="1F2937"/>
          <w:sz w:val="20"/>
        </w:rPr>
        <w:t xml:space="preserve">4. Hybrid Predictive + Generative AI Architecture: </w:t>
      </w:r>
      <w:r>
        <w:rPr>
          <w:rFonts w:ascii="Calibri" w:hAnsi="Calibri"/>
          <w:color w:val="374151"/>
          <w:sz w:val="20"/>
        </w:rPr>
        <w:t>Combines supervised machine learning churn risk scoring (&lt;30% Safe, 30-60% Moderate, &gt;60% Critical) with GenAI text synthesis.</w:t>
      </w:r>
    </w:p>
    <w:p>
      <w:pPr>
        <w:pStyle w:val="ListBullet"/>
        <w:spacing w:before="0" w:after="50" w:line="269" w:lineRule="auto"/>
      </w:pPr>
      <w:r>
        <w:rPr>
          <w:rFonts w:ascii="Calibri" w:hAnsi="Calibri"/>
          <w:b/>
          <w:color w:val="1F2937"/>
          <w:sz w:val="20"/>
        </w:rPr>
        <w:t xml:space="preserve">5. What-If Strategy Simulator &amp; CRM Dispatch: </w:t>
      </w:r>
      <w:r>
        <w:rPr>
          <w:rFonts w:ascii="Calibri" w:hAnsi="Calibri"/>
          <w:color w:val="374151"/>
          <w:sz w:val="20"/>
        </w:rPr>
        <w:t>Interactive sandbox to simulate fee adjustments and contract changes with real-time churn reduction calculations.</w:t>
      </w:r>
    </w:p>
    <w:p>
      <w:r>
        <w:br w:type="page"/>
      </w:r>
    </w:p>
    <w:p>
      <w:pPr>
        <w:pStyle w:val="Heading1"/>
        <w:keepNext/>
        <w:spacing w:before="0" w:after="80"/>
      </w:pPr>
      <w:r>
        <w:rPr>
          <w:rFonts w:ascii="Calibri" w:hAnsi="Calibri"/>
          <w:b/>
          <w:color w:val="1E3A8A"/>
          <w:sz w:val="28"/>
        </w:rPr>
        <w:t>2. Problem Statement</w:t>
      </w:r>
    </w:p>
    <w:p>
      <w:pPr>
        <w:pStyle w:val="Heading2"/>
        <w:keepNext/>
        <w:spacing w:before="80" w:after="40"/>
      </w:pPr>
      <w:r>
        <w:rPr>
          <w:rFonts w:ascii="Calibri" w:hAnsi="Calibri"/>
          <w:b/>
          <w:color w:val="2563EB"/>
          <w:sz w:val="23"/>
        </w:rPr>
        <w:t>2.1 Real-World Problem Identified</w:t>
      </w:r>
    </w:p>
    <w:p>
      <w:pPr>
        <w:keepNext w:val="0"/>
        <w:spacing w:before="0" w:after="60" w:line="269" w:lineRule="auto"/>
      </w:pPr>
      <w:r>
        <w:rPr>
          <w:rFonts w:ascii="Calibri" w:hAnsi="Calibri"/>
          <w:color w:val="374151"/>
          <w:sz w:val="20"/>
        </w:rPr>
        <w:t>Telecommunication providers face an average annual customer churn rate between 20% and 30%. Frontline retention operations are severely constrained by three systemic operational bottlenecks:</w:t>
      </w:r>
    </w:p>
    <w:p>
      <w:pPr>
        <w:pStyle w:val="ListBullet"/>
        <w:spacing w:before="0" w:after="50" w:line="269" w:lineRule="auto"/>
      </w:pPr>
      <w:r>
        <w:rPr>
          <w:rFonts w:ascii="Calibri" w:hAnsi="Calibri"/>
          <w:b/>
          <w:color w:val="1F2937"/>
          <w:sz w:val="20"/>
        </w:rPr>
        <w:t xml:space="preserve">1. Blanket Discount Inefficiencies: </w:t>
      </w:r>
      <w:r>
        <w:rPr>
          <w:rFonts w:ascii="Calibri" w:hAnsi="Calibri"/>
          <w:color w:val="374151"/>
          <w:sz w:val="20"/>
        </w:rPr>
        <w:t>Marketing teams send broad, identical discount promotions to all departing subscribers. This unnecessarily erodes profit margins on subscribers who would have stayed while failing to convince high-value dissatisfied customers.</w:t>
      </w:r>
    </w:p>
    <w:p>
      <w:pPr>
        <w:pStyle w:val="ListBullet"/>
        <w:spacing w:before="0" w:after="50" w:line="269" w:lineRule="auto"/>
      </w:pPr>
      <w:r>
        <w:rPr>
          <w:rFonts w:ascii="Calibri" w:hAnsi="Calibri"/>
          <w:b/>
          <w:color w:val="1F2937"/>
          <w:sz w:val="20"/>
        </w:rPr>
        <w:t xml:space="preserve">2. Lack of Real-Time Agent Guidance: </w:t>
      </w:r>
      <w:r>
        <w:rPr>
          <w:rFonts w:ascii="Calibri" w:hAnsi="Calibri"/>
          <w:color w:val="374151"/>
          <w:sz w:val="20"/>
        </w:rPr>
        <w:t>Customer service representatives must manually devise counter-offers during high-pressure live calls without structured negotiation guidance, resulting in inconsistent customer experiences and lost retention opportunities.</w:t>
      </w:r>
    </w:p>
    <w:p>
      <w:pPr>
        <w:pStyle w:val="ListBullet"/>
        <w:spacing w:before="0" w:after="50" w:line="269" w:lineRule="auto"/>
      </w:pPr>
      <w:r>
        <w:rPr>
          <w:rFonts w:ascii="Calibri" w:hAnsi="Calibri"/>
          <w:b/>
          <w:color w:val="1F2937"/>
          <w:sz w:val="20"/>
        </w:rPr>
        <w:t xml:space="preserve">3. High Latency &amp; Manual Copywriting Bottlenecks: </w:t>
      </w:r>
      <w:r>
        <w:rPr>
          <w:rFonts w:ascii="Calibri" w:hAnsi="Calibri"/>
          <w:color w:val="374151"/>
          <w:sz w:val="20"/>
        </w:rPr>
        <w:t>Drafting personalized enterprise win-back communications currently requires hours or days of manual copywriting, causing service providers to miss the narrow engagement window when at-risk subscribers can still be retained.</w:t>
      </w:r>
    </w:p>
    <w:p>
      <w:pPr>
        <w:pStyle w:val="Heading2"/>
        <w:keepNext/>
        <w:spacing w:before="120" w:after="40"/>
      </w:pPr>
      <w:r>
        <w:rPr>
          <w:rFonts w:ascii="Calibri" w:hAnsi="Calibri"/>
          <w:b/>
          <w:color w:val="2563EB"/>
          <w:sz w:val="23"/>
        </w:rPr>
        <w:t>2.2 Why Generative AI Fixes This Better Than Existing Approaches</w:t>
      </w:r>
    </w:p>
    <w:p>
      <w:pPr>
        <w:keepNext w:val="0"/>
        <w:spacing w:before="0" w:after="60" w:line="269" w:lineRule="auto"/>
      </w:pPr>
      <w:r>
        <w:rPr>
          <w:rFonts w:ascii="Calibri" w:hAnsi="Calibri"/>
          <w:color w:val="374151"/>
          <w:sz w:val="20"/>
        </w:rPr>
        <w:t>Static rule-based templates cannot naturally harmonize 20+ interrelated customer variables (such as contract type, fiber optic pricing friction, electronic check billing issues, and absence of security add-ons) into a compelling, human-sounding message. Generative AI excels at contextual natural language understanding and synthesis, dynamically crafting empathetic tone, persuasive value propositions, and structured financial incentives tailored to each individual subscriber.</w:t>
      </w:r>
    </w:p>
    <w:p>
      <w:pPr>
        <w:pStyle w:val="Heading2"/>
        <w:keepNext/>
        <w:spacing w:before="120" w:after="40"/>
      </w:pPr>
      <w:r>
        <w:rPr>
          <w:rFonts w:ascii="Calibri" w:hAnsi="Calibri"/>
          <w:b/>
          <w:color w:val="2563EB"/>
          <w:sz w:val="23"/>
        </w:rPr>
        <w:t>2.3 Concrete Improvements &amp; Expected Outcomes</w:t>
      </w:r>
    </w:p>
    <w:p>
      <w:pPr>
        <w:pStyle w:val="ListBullet"/>
        <w:spacing w:before="0" w:after="50" w:line="269" w:lineRule="auto"/>
      </w:pPr>
      <w:r>
        <w:rPr>
          <w:rFonts w:ascii="Calibri" w:hAnsi="Calibri"/>
          <w:b/>
          <w:color w:val="1F2937"/>
          <w:sz w:val="20"/>
        </w:rPr>
        <w:t xml:space="preserve">• 99% Turnaround Time Reduction: </w:t>
      </w:r>
      <w:r>
        <w:rPr>
          <w:rFonts w:ascii="Calibri" w:hAnsi="Calibri"/>
          <w:color w:val="374151"/>
          <w:sz w:val="20"/>
        </w:rPr>
        <w:t>Generating tailored email and script assets is reduced from 45 minutes of manual agent effort to under 1 second.</w:t>
      </w:r>
    </w:p>
    <w:p>
      <w:pPr>
        <w:pStyle w:val="ListBullet"/>
        <w:spacing w:before="0" w:after="50" w:line="269" w:lineRule="auto"/>
      </w:pPr>
      <w:r>
        <w:rPr>
          <w:rFonts w:ascii="Calibri" w:hAnsi="Calibri"/>
          <w:b/>
          <w:color w:val="1F2937"/>
          <w:sz w:val="20"/>
        </w:rPr>
        <w:t xml:space="preserve">• 3x Higher Customer Engagement: </w:t>
      </w:r>
      <w:r>
        <w:rPr>
          <w:rFonts w:ascii="Calibri" w:hAnsi="Calibri"/>
          <w:color w:val="374151"/>
          <w:sz w:val="20"/>
        </w:rPr>
        <w:t>Personalized, empathetic messaging addressing specific pain points achieves over 3x higher click-through and engagement rates compared to generic broadcast templates.</w:t>
      </w:r>
    </w:p>
    <w:p>
      <w:pPr>
        <w:pStyle w:val="ListBullet"/>
        <w:spacing w:before="0" w:after="50" w:line="269" w:lineRule="auto"/>
      </w:pPr>
      <w:r>
        <w:rPr>
          <w:rFonts w:ascii="Calibri" w:hAnsi="Calibri"/>
          <w:b/>
          <w:color w:val="1F2937"/>
          <w:sz w:val="20"/>
        </w:rPr>
        <w:t xml:space="preserve">• Preserved Operating Profit Margins: </w:t>
      </w:r>
      <w:r>
        <w:rPr>
          <w:rFonts w:ascii="Calibri" w:hAnsi="Calibri"/>
          <w:color w:val="374151"/>
          <w:sz w:val="20"/>
        </w:rPr>
        <w:t>Structured tier-based incentives prevent over-discounting, preserving valuable recurring subscription margin across large subscriber cohorts.</w:t>
      </w:r>
    </w:p>
    <w:p>
      <w:pPr>
        <w:pStyle w:val="Heading1"/>
        <w:keepNext/>
        <w:spacing w:before="200" w:after="80"/>
      </w:pPr>
      <w:r>
        <w:rPr>
          <w:rFonts w:ascii="Calibri" w:hAnsi="Calibri"/>
          <w:b/>
          <w:color w:val="1E3A8A"/>
          <w:sz w:val="28"/>
        </w:rPr>
        <w:t>3. Objectives</w:t>
      </w:r>
    </w:p>
    <w:p>
      <w:pPr>
        <w:keepNext w:val="0"/>
        <w:spacing w:before="0" w:after="60" w:line="269" w:lineRule="auto"/>
      </w:pPr>
      <w:r>
        <w:rPr>
          <w:rFonts w:ascii="Calibri" w:hAnsi="Calibri"/>
          <w:color w:val="374151"/>
          <w:sz w:val="20"/>
        </w:rPr>
        <w:t>The key technical and operational objectives of the TelcoPulse AI project are:</w:t>
      </w:r>
    </w:p>
    <w:p>
      <w:pPr>
        <w:pStyle w:val="ListBullet"/>
        <w:spacing w:before="0" w:after="50" w:line="269" w:lineRule="auto"/>
      </w:pPr>
      <w:r>
        <w:rPr>
          <w:rFonts w:ascii="Calibri" w:hAnsi="Calibri"/>
          <w:b/>
          <w:color w:val="1F2937"/>
          <w:sz w:val="20"/>
        </w:rPr>
        <w:t xml:space="preserve">1. Deployable GenAI Platform: </w:t>
      </w:r>
      <w:r>
        <w:rPr>
          <w:rFonts w:ascii="Calibri" w:hAnsi="Calibri"/>
          <w:color w:val="374151"/>
          <w:sz w:val="20"/>
        </w:rPr>
        <w:t>Develop a fully functional, cloud-deployable Generative AI application (TelcoPulse AI) tailored for telecom customer retention operations.</w:t>
      </w:r>
    </w:p>
    <w:p>
      <w:pPr>
        <w:pStyle w:val="ListBullet"/>
        <w:spacing w:before="0" w:after="50" w:line="269" w:lineRule="auto"/>
      </w:pPr>
      <w:r>
        <w:rPr>
          <w:rFonts w:ascii="Calibri" w:hAnsi="Calibri"/>
          <w:b/>
          <w:color w:val="1F2937"/>
          <w:sz w:val="20"/>
        </w:rPr>
        <w:t xml:space="preserve">2. Model &amp; API Integration: </w:t>
      </w:r>
      <w:r>
        <w:rPr>
          <w:rFonts w:ascii="Calibri" w:hAnsi="Calibri"/>
          <w:color w:val="374151"/>
          <w:sz w:val="20"/>
        </w:rPr>
        <w:t>Integrate advanced Large Language Model (LLM) APIs (Google Gemini Cloud API) suited for high-speed, structured business copywriting.</w:t>
      </w:r>
    </w:p>
    <w:p>
      <w:pPr>
        <w:pStyle w:val="ListBullet"/>
        <w:spacing w:before="0" w:after="50" w:line="269" w:lineRule="auto"/>
      </w:pPr>
      <w:r>
        <w:rPr>
          <w:rFonts w:ascii="Calibri" w:hAnsi="Calibri"/>
          <w:b/>
          <w:color w:val="1F2937"/>
          <w:sz w:val="20"/>
        </w:rPr>
        <w:t xml:space="preserve">3. Robust Prompt Engineering: </w:t>
      </w:r>
      <w:r>
        <w:rPr>
          <w:rFonts w:ascii="Calibri" w:hAnsi="Calibri"/>
          <w:color w:val="374151"/>
          <w:sz w:val="20"/>
        </w:rPr>
        <w:t>Design structured few-shot prompt templates incorporating customer risk telemetry, persona voice, and CRM concession guardrails.</w:t>
      </w:r>
    </w:p>
    <w:p>
      <w:pPr>
        <w:pStyle w:val="ListBullet"/>
        <w:spacing w:before="0" w:after="50" w:line="269" w:lineRule="auto"/>
      </w:pPr>
      <w:r>
        <w:rPr>
          <w:rFonts w:ascii="Calibri" w:hAnsi="Calibri"/>
          <w:b/>
          <w:color w:val="1F2937"/>
          <w:sz w:val="20"/>
        </w:rPr>
        <w:t xml:space="preserve">4. Interactive User Interface: </w:t>
      </w:r>
      <w:r>
        <w:rPr>
          <w:rFonts w:ascii="Calibri" w:hAnsi="Calibri"/>
          <w:color w:val="374151"/>
          <w:sz w:val="20"/>
        </w:rPr>
        <w:t>Build an intuitive, responsive web user interface using Streamlit featuring 1-click campaign generation, copy tools, and CRM JSON exports.</w:t>
      </w:r>
    </w:p>
    <w:p>
      <w:pPr>
        <w:pStyle w:val="ListBullet"/>
        <w:spacing w:before="0" w:after="50" w:line="269" w:lineRule="auto"/>
      </w:pPr>
      <w:r>
        <w:rPr>
          <w:rFonts w:ascii="Calibri" w:hAnsi="Calibri"/>
          <w:b/>
          <w:color w:val="1F2937"/>
          <w:sz w:val="20"/>
        </w:rPr>
        <w:t xml:space="preserve">5. Quality &amp; Practicality Evaluation: </w:t>
      </w:r>
      <w:r>
        <w:rPr>
          <w:rFonts w:ascii="Calibri" w:hAnsi="Calibri"/>
          <w:color w:val="374151"/>
          <w:sz w:val="20"/>
        </w:rPr>
        <w:t>Evaluate the coherence, relevance, and commercial feasibility of AI-generated retention assets across diverse subscriber risk profiles.</w:t>
      </w:r>
    </w:p>
    <w:p>
      <w:r>
        <w:br w:type="page"/>
      </w:r>
    </w:p>
    <w:p>
      <w:pPr>
        <w:pStyle w:val="Heading1"/>
        <w:keepNext/>
        <w:spacing w:before="0" w:after="80"/>
      </w:pPr>
      <w:r>
        <w:rPr>
          <w:rFonts w:ascii="Calibri" w:hAnsi="Calibri"/>
          <w:b/>
          <w:color w:val="1E3A8A"/>
          <w:sz w:val="28"/>
        </w:rPr>
        <w:t>4. Project Scope</w:t>
      </w:r>
    </w:p>
    <w:p>
      <w:pPr>
        <w:keepNext w:val="0"/>
        <w:spacing w:before="0" w:after="60" w:line="269" w:lineRule="auto"/>
      </w:pPr>
      <w:r>
        <w:rPr>
          <w:rFonts w:ascii="Calibri" w:hAnsi="Calibri"/>
          <w:color w:val="374151"/>
          <w:sz w:val="20"/>
        </w:rPr>
        <w:t>The operational boundaries and capabilities of the TelcoPulse GenAI platform encompass:</w:t>
      </w:r>
    </w:p>
    <w:p>
      <w:pPr>
        <w:pStyle w:val="ListBullet"/>
        <w:spacing w:before="0" w:after="50" w:line="269" w:lineRule="auto"/>
      </w:pPr>
      <w:r>
        <w:rPr>
          <w:rFonts w:ascii="Calibri" w:hAnsi="Calibri"/>
          <w:b/>
          <w:color w:val="1F2937"/>
          <w:sz w:val="20"/>
        </w:rPr>
        <w:t xml:space="preserve">Target Users: </w:t>
      </w:r>
      <w:r>
        <w:rPr>
          <w:rFonts w:ascii="Calibri" w:hAnsi="Calibri"/>
          <w:color w:val="374151"/>
          <w:sz w:val="20"/>
        </w:rPr>
        <w:t>Telecom Retention Specialists, Frontline Call Center Agents, Digital Marketing Campaign Managers, and Customer Success Executives.</w:t>
      </w:r>
    </w:p>
    <w:p>
      <w:pPr>
        <w:pStyle w:val="ListBullet"/>
        <w:spacing w:before="0" w:after="50" w:line="269" w:lineRule="auto"/>
      </w:pPr>
      <w:r>
        <w:rPr>
          <w:rFonts w:ascii="Calibri" w:hAnsi="Calibri"/>
          <w:b/>
          <w:color w:val="1F2937"/>
          <w:sz w:val="20"/>
        </w:rPr>
        <w:t xml:space="preserve">GenAI-Powered Modules: </w:t>
      </w:r>
      <w:r>
        <w:rPr>
          <w:rFonts w:ascii="Calibri" w:hAnsi="Calibri"/>
          <w:color w:val="374151"/>
          <w:sz w:val="20"/>
        </w:rPr>
        <w:t>Personalized Win-Back Email Generator, SMS Alert Copywriter, Agent Negotiation &amp; Objection Handling Scriptwriter, Concession Matrix Recommender, and CRM Payload Serializer.</w:t>
      </w:r>
    </w:p>
    <w:p>
      <w:pPr>
        <w:pStyle w:val="ListBullet"/>
        <w:spacing w:before="0" w:after="50" w:line="269" w:lineRule="auto"/>
      </w:pPr>
      <w:r>
        <w:rPr>
          <w:rFonts w:ascii="Calibri" w:hAnsi="Calibri"/>
          <w:b/>
          <w:color w:val="1F2937"/>
          <w:sz w:val="20"/>
        </w:rPr>
        <w:t xml:space="preserve">Input Telemetry: </w:t>
      </w:r>
      <w:r>
        <w:rPr>
          <w:rFonts w:ascii="Calibri" w:hAnsi="Calibri"/>
          <w:color w:val="374151"/>
          <w:sz w:val="20"/>
        </w:rPr>
        <w:t>Customer demographic telemetry, subscription details (contract type, internet service, tech support status, billing method), monthly charges, predictive risk tiers, persona tone, and campaign goals.</w:t>
      </w:r>
    </w:p>
    <w:p>
      <w:pPr>
        <w:pStyle w:val="ListBullet"/>
        <w:spacing w:before="0" w:after="50" w:line="269" w:lineRule="auto"/>
      </w:pPr>
      <w:r>
        <w:rPr>
          <w:rFonts w:ascii="Calibri" w:hAnsi="Calibri"/>
          <w:b/>
          <w:color w:val="1F2937"/>
          <w:sz w:val="20"/>
        </w:rPr>
        <w:t xml:space="preserve">Output Deliverables: </w:t>
      </w:r>
      <w:r>
        <w:rPr>
          <w:rFonts w:ascii="Calibri" w:hAnsi="Calibri"/>
          <w:color w:val="374151"/>
          <w:sz w:val="20"/>
        </w:rPr>
        <w:t>Formatted markdown emails, character-limited SMS copy, dialogue trees, structured markdown comparison tables, and machine-readable JSON payloads.</w:t>
      </w:r>
    </w:p>
    <w:p>
      <w:pPr>
        <w:pStyle w:val="ListBullet"/>
        <w:spacing w:before="0" w:after="50" w:line="269" w:lineRule="auto"/>
      </w:pPr>
      <w:r>
        <w:rPr>
          <w:rFonts w:ascii="Calibri" w:hAnsi="Calibri"/>
          <w:b/>
          <w:color w:val="1F2937"/>
          <w:sz w:val="20"/>
        </w:rPr>
        <w:t xml:space="preserve">Project Boundaries &amp; Constraints: </w:t>
      </w:r>
      <w:r>
        <w:rPr>
          <w:rFonts w:ascii="Calibri" w:hAnsi="Calibri"/>
          <w:color w:val="374151"/>
          <w:sz w:val="20"/>
        </w:rPr>
        <w:t>Current build operates on English-language communications and residential telecom account schemas; does not execute direct automated telephony voice calls.</w:t>
      </w:r>
    </w:p>
    <w:p>
      <w:pPr>
        <w:pStyle w:val="Heading1"/>
        <w:keepNext/>
        <w:spacing w:before="160" w:after="80"/>
      </w:pPr>
      <w:r>
        <w:rPr>
          <w:rFonts w:ascii="Calibri" w:hAnsi="Calibri"/>
          <w:b/>
          <w:color w:val="1E3A8A"/>
          <w:sz w:val="28"/>
        </w:rPr>
        <w:t>5. Proposed System / Methodology</w:t>
      </w:r>
    </w:p>
    <w:p>
      <w:pPr>
        <w:keepNext w:val="0"/>
        <w:spacing w:before="0" w:after="60" w:line="269" w:lineRule="auto"/>
      </w:pPr>
      <w:r>
        <w:rPr>
          <w:rFonts w:ascii="Calibri" w:hAnsi="Calibri"/>
          <w:color w:val="374151"/>
          <w:sz w:val="20"/>
        </w:rPr>
        <w:t>The TelcoPulse GenAI platform operates via an end-to-end multi-stage pipeline designed for low latency, high context preservation, and deterministic business safety:</w:t>
      </w:r>
    </w:p>
    <w:tbl>
      <w:tblPr>
        <w:tblW w:type="auto" w:w="0"/>
        <w:jc w:val="center"/>
        <w:tblLook w:firstColumn="1" w:firstRow="1" w:lastColumn="0" w:lastRow="0" w:noHBand="0" w:noVBand="1" w:val="04A0"/>
      </w:tblPr>
      <w:tblGrid>
        <w:gridCol w:w="10080"/>
      </w:tblGrid>
      <w:tr>
        <w:trPr>
          <w:cantSplit/>
        </w:trPr>
        <w:tc>
          <w:tcPr>
            <w:tcW w:type="dxa" w:w="10080"/>
            <w:shd w:fill="F8FAFC"/>
            <w:tcMar>
              <w:top w:w="100" w:type="dxa"/>
              <w:bottom w:w="100" w:type="dxa"/>
              <w:left w:w="140" w:type="dxa"/>
              <w:right w:w="140" w:type="dxa"/>
            </w:tcMar>
            <w:tcBorders>
              <w:top w:val="single" w:sz="12" w:space="0" w:color="CBD5E1"/>
              <w:left w:val="single" w:sz="24" w:space="0" w:color="1E3A8A"/>
              <w:bottom w:val="single" w:sz="12" w:space="0" w:color="CBD5E1"/>
              <w:right w:val="single" w:sz="12" w:space="0" w:color="CBD5E1"/>
            </w:tcBorders>
          </w:tcPr>
          <w:p>
            <w:pPr>
              <w:spacing w:after="0"/>
              <w:jc w:val="center"/>
            </w:pPr>
            <w:r>
              <w:rPr>
                <w:rFonts w:ascii="Calibri" w:hAnsi="Calibri"/>
                <w:b/>
                <w:color w:val="1E3A8A"/>
                <w:sz w:val="19"/>
              </w:rPr>
              <w:t>Subscriber Context Ingestion  --&gt;  Predictive Risk &amp; Driver Telemetry  --&gt;  Dynamic Prompt Template Construction  --&gt;  Generative AI / LLM Inference Layer  --&gt;  Multi-Channel Output Parsing &amp; Formatting  --&gt;  Interactive UI &amp; CRM Synchronization</w:t>
            </w:r>
          </w:p>
        </w:tc>
      </w:tr>
    </w:tbl>
    <w:p>
      <w:pPr>
        <w:spacing w:after="80"/>
      </w:pPr>
    </w:p>
    <w:tbl>
      <w:tblPr>
        <w:tblW w:type="auto" w:w="0"/>
        <w:jc w:val="center"/>
        <w:tblLook w:firstColumn="1" w:firstRow="1" w:lastColumn="0" w:lastRow="0" w:noHBand="0" w:noVBand="1" w:val="04A0"/>
      </w:tblPr>
      <w:tblGrid>
        <w:gridCol w:w="5040"/>
        <w:gridCol w:w="5040"/>
      </w:tblGrid>
      <w:tr>
        <w:trPr>
          <w:tblHeader/>
          <w:cantSplit/>
        </w:trPr>
        <w:tc>
          <w:tcPr>
            <w:tcW w:type="dxa" w:w="3168"/>
            <w:shd w:fill="1E3A8A"/>
            <w:tcMar>
              <w:top w:w="80" w:type="dxa"/>
              <w:bottom w:w="80" w:type="dxa"/>
              <w:left w:w="80" w:type="dxa"/>
              <w:right w:w="80" w:type="dxa"/>
            </w:tcMar>
          </w:tcPr>
          <w:p>
            <w:pPr>
              <w:spacing w:after="0"/>
              <w:jc w:val="center"/>
            </w:pPr>
            <w:r>
              <w:rPr>
                <w:rFonts w:ascii="Calibri" w:hAnsi="Calibri"/>
                <w:b/>
                <w:color w:val="FFFFFF"/>
                <w:sz w:val="18"/>
              </w:rPr>
              <w:t>Methodology Phase</w:t>
            </w:r>
          </w:p>
        </w:tc>
        <w:tc>
          <w:tcPr>
            <w:tcW w:type="dxa" w:w="6912"/>
            <w:shd w:fill="1E3A8A"/>
            <w:tcMar>
              <w:top w:w="80" w:type="dxa"/>
              <w:bottom w:w="80" w:type="dxa"/>
              <w:left w:w="80" w:type="dxa"/>
              <w:right w:w="80" w:type="dxa"/>
            </w:tcMar>
          </w:tcPr>
          <w:p>
            <w:pPr>
              <w:spacing w:after="0"/>
              <w:jc w:val="center"/>
            </w:pPr>
            <w:r>
              <w:rPr>
                <w:rFonts w:ascii="Calibri" w:hAnsi="Calibri"/>
                <w:b/>
                <w:color w:val="FFFFFF"/>
                <w:sz w:val="18"/>
              </w:rPr>
              <w:t>Key Operational Activities &amp; Outcomes</w:t>
            </w:r>
          </w:p>
        </w:tc>
      </w:tr>
      <w:tr>
        <w:trPr>
          <w:cantSplit/>
        </w:trPr>
        <w:tc>
          <w:tcPr>
            <w:tcW w:type="dxa" w:w="3168"/>
            <w:shd w:fill="FFFFFF"/>
            <w:tcMar>
              <w:top w:w="45" w:type="dxa"/>
              <w:bottom w:w="45" w:type="dxa"/>
              <w:left w:w="80" w:type="dxa"/>
              <w:right w:w="80" w:type="dxa"/>
            </w:tcMar>
          </w:tcPr>
          <w:p>
            <w:pPr>
              <w:spacing w:after="0"/>
              <w:jc w:val="left"/>
            </w:pPr>
            <w:r>
              <w:rPr>
                <w:rFonts w:ascii="Calibri" w:hAnsi="Calibri"/>
                <w:color w:val="1F2937"/>
                <w:sz w:val="17"/>
              </w:rPr>
              <w:t>Stage 1: Context Ingestion</w:t>
            </w:r>
          </w:p>
        </w:tc>
        <w:tc>
          <w:tcPr>
            <w:tcW w:type="dxa" w:w="6912"/>
            <w:shd w:fill="FFFFFF"/>
            <w:tcMar>
              <w:top w:w="45" w:type="dxa"/>
              <w:bottom w:w="45" w:type="dxa"/>
              <w:left w:w="80" w:type="dxa"/>
              <w:right w:w="80" w:type="dxa"/>
            </w:tcMar>
          </w:tcPr>
          <w:p>
            <w:pPr>
              <w:spacing w:after="0"/>
              <w:jc w:val="left"/>
            </w:pPr>
            <w:r>
              <w:rPr>
                <w:rFonts w:ascii="Calibri" w:hAnsi="Calibri"/>
                <w:color w:val="1F2937"/>
                <w:sz w:val="17"/>
              </w:rPr>
              <w:t>Agent selects or inputs customer parameters (Tenure, Contract, Monthly Charges, Internet Type, Add-ons).</w:t>
            </w:r>
          </w:p>
        </w:tc>
      </w:tr>
      <w:tr>
        <w:trPr>
          <w:cantSplit/>
        </w:trPr>
        <w:tc>
          <w:tcPr>
            <w:tcW w:type="dxa" w:w="3168"/>
            <w:shd w:fill="F8FAFC"/>
            <w:tcMar>
              <w:top w:w="45" w:type="dxa"/>
              <w:bottom w:w="45" w:type="dxa"/>
              <w:left w:w="80" w:type="dxa"/>
              <w:right w:w="80" w:type="dxa"/>
            </w:tcMar>
          </w:tcPr>
          <w:p>
            <w:pPr>
              <w:spacing w:after="0"/>
              <w:jc w:val="left"/>
            </w:pPr>
            <w:r>
              <w:rPr>
                <w:rFonts w:ascii="Calibri" w:hAnsi="Calibri"/>
                <w:color w:val="1F2937"/>
                <w:sz w:val="17"/>
              </w:rPr>
              <w:t>Stage 2: Telemetry Extraction</w:t>
            </w:r>
          </w:p>
        </w:tc>
        <w:tc>
          <w:tcPr>
            <w:tcW w:type="dxa" w:w="6912"/>
            <w:shd w:fill="F8FAFC"/>
            <w:tcMar>
              <w:top w:w="45" w:type="dxa"/>
              <w:bottom w:w="45" w:type="dxa"/>
              <w:left w:w="80" w:type="dxa"/>
              <w:right w:w="80" w:type="dxa"/>
            </w:tcMar>
          </w:tcPr>
          <w:p>
            <w:pPr>
              <w:spacing w:after="0"/>
              <w:jc w:val="left"/>
            </w:pPr>
            <w:r>
              <w:rPr>
                <w:rFonts w:ascii="Calibri" w:hAnsi="Calibri"/>
                <w:color w:val="1F2937"/>
                <w:sz w:val="17"/>
              </w:rPr>
              <w:t>Predictive ML classification identifies churn probability (%) and extracts top hazard drivers (e.g., Month-to-Month, Fiber Optic, No Tech Support).</w:t>
            </w:r>
          </w:p>
        </w:tc>
      </w:tr>
      <w:tr>
        <w:trPr>
          <w:cantSplit/>
        </w:trPr>
        <w:tc>
          <w:tcPr>
            <w:tcW w:type="dxa" w:w="3168"/>
            <w:shd w:fill="FFFFFF"/>
            <w:tcMar>
              <w:top w:w="45" w:type="dxa"/>
              <w:bottom w:w="45" w:type="dxa"/>
              <w:left w:w="80" w:type="dxa"/>
              <w:right w:w="80" w:type="dxa"/>
            </w:tcMar>
          </w:tcPr>
          <w:p>
            <w:pPr>
              <w:spacing w:after="0"/>
              <w:jc w:val="left"/>
            </w:pPr>
            <w:r>
              <w:rPr>
                <w:rFonts w:ascii="Calibri" w:hAnsi="Calibri"/>
                <w:color w:val="1F2937"/>
                <w:sz w:val="17"/>
              </w:rPr>
              <w:t>Stage 3: Prompt Construction</w:t>
            </w:r>
          </w:p>
        </w:tc>
        <w:tc>
          <w:tcPr>
            <w:tcW w:type="dxa" w:w="6912"/>
            <w:shd w:fill="FFFFFF"/>
            <w:tcMar>
              <w:top w:w="45" w:type="dxa"/>
              <w:bottom w:w="45" w:type="dxa"/>
              <w:left w:w="80" w:type="dxa"/>
              <w:right w:w="80" w:type="dxa"/>
            </w:tcMar>
          </w:tcPr>
          <w:p>
            <w:pPr>
              <w:spacing w:after="0"/>
              <w:jc w:val="left"/>
            </w:pPr>
            <w:r>
              <w:rPr>
                <w:rFonts w:ascii="Calibri" w:hAnsi="Calibri"/>
                <w:color w:val="1F2937"/>
                <w:sz w:val="17"/>
              </w:rPr>
              <w:t>A parameter-bound Few-Shot Prompt Template is assembled, embedding system persona, subscriber context, business concession rules, and target channel constraints.</w:t>
            </w:r>
          </w:p>
        </w:tc>
      </w:tr>
      <w:tr>
        <w:trPr>
          <w:cantSplit/>
        </w:trPr>
        <w:tc>
          <w:tcPr>
            <w:tcW w:type="dxa" w:w="3168"/>
            <w:shd w:fill="F8FAFC"/>
            <w:tcMar>
              <w:top w:w="45" w:type="dxa"/>
              <w:bottom w:w="45" w:type="dxa"/>
              <w:left w:w="80" w:type="dxa"/>
              <w:right w:w="80" w:type="dxa"/>
            </w:tcMar>
          </w:tcPr>
          <w:p>
            <w:pPr>
              <w:spacing w:after="0"/>
              <w:jc w:val="left"/>
            </w:pPr>
            <w:r>
              <w:rPr>
                <w:rFonts w:ascii="Calibri" w:hAnsi="Calibri"/>
                <w:color w:val="1F2937"/>
                <w:sz w:val="17"/>
              </w:rPr>
              <w:t>Stage 4: LLM Generation Layer</w:t>
            </w:r>
          </w:p>
        </w:tc>
        <w:tc>
          <w:tcPr>
            <w:tcW w:type="dxa" w:w="6912"/>
            <w:shd w:fill="F8FAFC"/>
            <w:tcMar>
              <w:top w:w="45" w:type="dxa"/>
              <w:bottom w:w="45" w:type="dxa"/>
              <w:left w:w="80" w:type="dxa"/>
              <w:right w:w="80" w:type="dxa"/>
            </w:tcMar>
          </w:tcPr>
          <w:p>
            <w:pPr>
              <w:spacing w:after="0"/>
              <w:jc w:val="left"/>
            </w:pPr>
            <w:r>
              <w:rPr>
                <w:rFonts w:ascii="Calibri" w:hAnsi="Calibri"/>
                <w:color w:val="1F2937"/>
                <w:sz w:val="17"/>
              </w:rPr>
              <w:t>The structured prompt is executed through the Generative AI Model (Google Gemini API / Contextual Engine) using temperature-tuned stochastic sampling.</w:t>
            </w:r>
          </w:p>
        </w:tc>
      </w:tr>
      <w:tr>
        <w:trPr>
          <w:cantSplit/>
        </w:trPr>
        <w:tc>
          <w:tcPr>
            <w:tcW w:type="dxa" w:w="3168"/>
            <w:shd w:fill="FFFFFF"/>
            <w:tcMar>
              <w:top w:w="45" w:type="dxa"/>
              <w:bottom w:w="45" w:type="dxa"/>
              <w:left w:w="80" w:type="dxa"/>
              <w:right w:w="80" w:type="dxa"/>
            </w:tcMar>
          </w:tcPr>
          <w:p>
            <w:pPr>
              <w:spacing w:after="0"/>
              <w:jc w:val="left"/>
            </w:pPr>
            <w:r>
              <w:rPr>
                <w:rFonts w:ascii="Calibri" w:hAnsi="Calibri"/>
                <w:color w:val="1F2937"/>
                <w:sz w:val="17"/>
              </w:rPr>
              <w:t>Stage 5: Output Parsing &amp; Display</w:t>
            </w:r>
          </w:p>
        </w:tc>
        <w:tc>
          <w:tcPr>
            <w:tcW w:type="dxa" w:w="6912"/>
            <w:shd w:fill="FFFFFF"/>
            <w:tcMar>
              <w:top w:w="45" w:type="dxa"/>
              <w:bottom w:w="45" w:type="dxa"/>
              <w:left w:w="80" w:type="dxa"/>
              <w:right w:w="80" w:type="dxa"/>
            </w:tcMar>
          </w:tcPr>
          <w:p>
            <w:pPr>
              <w:spacing w:after="0"/>
              <w:jc w:val="left"/>
            </w:pPr>
            <w:r>
              <w:rPr>
                <w:rFonts w:ascii="Calibri" w:hAnsi="Calibri"/>
                <w:color w:val="1F2937"/>
                <w:sz w:val="17"/>
              </w:rPr>
              <w:t>Generated text is parsed into 4 dedicated UI tabs: Email copy, Agent script, Concession table, and CRM JSON payload.</w:t>
            </w:r>
          </w:p>
        </w:tc>
      </w:tr>
      <w:tr>
        <w:trPr>
          <w:cantSplit/>
        </w:trPr>
        <w:tc>
          <w:tcPr>
            <w:tcW w:type="dxa" w:w="3168"/>
            <w:shd w:fill="F8FAFC"/>
            <w:tcMar>
              <w:top w:w="45" w:type="dxa"/>
              <w:bottom w:w="45" w:type="dxa"/>
              <w:left w:w="80" w:type="dxa"/>
              <w:right w:w="80" w:type="dxa"/>
            </w:tcMar>
          </w:tcPr>
          <w:p>
            <w:pPr>
              <w:spacing w:after="0"/>
              <w:jc w:val="left"/>
            </w:pPr>
            <w:r>
              <w:rPr>
                <w:rFonts w:ascii="Calibri" w:hAnsi="Calibri"/>
                <w:color w:val="1F2937"/>
                <w:sz w:val="17"/>
              </w:rPr>
              <w:t>Stage 6: Operational Dispatch</w:t>
            </w:r>
          </w:p>
        </w:tc>
        <w:tc>
          <w:tcPr>
            <w:tcW w:type="dxa" w:w="6912"/>
            <w:shd w:fill="F8FAFC"/>
            <w:tcMar>
              <w:top w:w="45" w:type="dxa"/>
              <w:bottom w:w="45" w:type="dxa"/>
              <w:left w:w="80" w:type="dxa"/>
              <w:right w:w="80" w:type="dxa"/>
            </w:tcMar>
          </w:tcPr>
          <w:p>
            <w:pPr>
              <w:spacing w:after="0"/>
              <w:jc w:val="left"/>
            </w:pPr>
            <w:r>
              <w:rPr>
                <w:rFonts w:ascii="Calibri" w:hAnsi="Calibri"/>
                <w:color w:val="1F2937"/>
                <w:sz w:val="17"/>
              </w:rPr>
              <w:t>Frontline agents copy communications, download text files, or trigger CRM API sync with 1 click.</w:t>
            </w:r>
          </w:p>
        </w:tc>
      </w:tr>
    </w:tbl>
    <w:p>
      <w:r>
        <w:br w:type="page"/>
      </w:r>
    </w:p>
    <w:p>
      <w:pPr>
        <w:pStyle w:val="Heading1"/>
        <w:keepNext/>
        <w:spacing w:before="0" w:after="80"/>
      </w:pPr>
      <w:r>
        <w:rPr>
          <w:rFonts w:ascii="Calibri" w:hAnsi="Calibri"/>
          <w:b/>
          <w:color w:val="1E3A8A"/>
          <w:sz w:val="28"/>
        </w:rPr>
        <w:t>6. System Architecture / Workflow</w:t>
      </w:r>
    </w:p>
    <w:p>
      <w:pPr>
        <w:keepNext w:val="0"/>
        <w:spacing w:before="0" w:after="60" w:line="269" w:lineRule="auto"/>
      </w:pPr>
      <w:r>
        <w:rPr>
          <w:rFonts w:ascii="Calibri" w:hAnsi="Calibri"/>
          <w:color w:val="374151"/>
          <w:sz w:val="20"/>
        </w:rPr>
        <w:t>The TelcoPulse GenAI system employs a modern decoupled architecture connecting user inputs, predictive machine learning models, prompt orchestration, and generative LLMs:</w:t>
      </w:r>
    </w:p>
    <w:p>
      <w:r>
        <w:drawing>
          <wp:inline xmlns:a="http://schemas.openxmlformats.org/drawingml/2006/main" xmlns:pic="http://schemas.openxmlformats.org/drawingml/2006/picture">
            <wp:extent cx="5669280" cy="3953577"/>
            <wp:docPr id="1" name="Picture 1"/>
            <wp:cNvGraphicFramePr>
              <a:graphicFrameLocks noChangeAspect="1"/>
            </wp:cNvGraphicFramePr>
            <a:graphic>
              <a:graphicData uri="http://schemas.openxmlformats.org/drawingml/2006/picture">
                <pic:pic>
                  <pic:nvPicPr>
                    <pic:cNvPr id="0" name="09_genai_system_architecture.png"/>
                    <pic:cNvPicPr/>
                  </pic:nvPicPr>
                  <pic:blipFill>
                    <a:blip r:embed="rId11"/>
                    <a:stretch>
                      <a:fillRect/>
                    </a:stretch>
                  </pic:blipFill>
                  <pic:spPr>
                    <a:xfrm>
                      <a:off x="0" y="0"/>
                      <a:ext cx="5669280" cy="3953577"/>
                    </a:xfrm>
                    <a:prstGeom prst="rect"/>
                  </pic:spPr>
                </pic:pic>
              </a:graphicData>
            </a:graphic>
          </wp:inline>
        </w:drawing>
      </w:r>
    </w:p>
    <w:p>
      <w:pPr>
        <w:spacing w:before="40" w:after="120"/>
        <w:jc w:val="center"/>
      </w:pPr>
      <w:r>
        <w:rPr>
          <w:rFonts w:ascii="Calibri" w:hAnsi="Calibri"/>
          <w:i/>
          <w:color w:val="6B7280"/>
          <w:sz w:val="17"/>
        </w:rPr>
        <w:t>Figure 1: TelcoPulse GenAI End-to-End System Architecture &amp; Workflow</w:t>
      </w:r>
    </w:p>
    <w:p>
      <w:pPr>
        <w:keepNext w:val="0"/>
        <w:spacing w:before="0" w:after="60" w:line="269" w:lineRule="auto"/>
      </w:pPr>
      <w:r>
        <w:rPr>
          <w:rFonts w:ascii="Calibri" w:hAnsi="Calibri"/>
          <w:color w:val="374151"/>
          <w:sz w:val="20"/>
        </w:rPr>
        <w:t>The architecture comprises five cohesive layers:</w:t>
      </w:r>
    </w:p>
    <w:p>
      <w:pPr>
        <w:pStyle w:val="ListBullet"/>
        <w:spacing w:before="0" w:after="50" w:line="269" w:lineRule="auto"/>
      </w:pPr>
      <w:r>
        <w:rPr>
          <w:rFonts w:ascii="Calibri" w:hAnsi="Calibri"/>
          <w:b/>
          <w:color w:val="1F2937"/>
          <w:sz w:val="20"/>
        </w:rPr>
        <w:t xml:space="preserve">1. Presentation Layer (Streamlit UI): </w:t>
      </w:r>
      <w:r>
        <w:rPr>
          <w:rFonts w:ascii="Calibri" w:hAnsi="Calibri"/>
          <w:color w:val="374151"/>
          <w:sz w:val="20"/>
        </w:rPr>
        <w:t>Streamlit web interface where retention agents configure customer profiles, campaign goals, and tone personas.</w:t>
      </w:r>
    </w:p>
    <w:p>
      <w:pPr>
        <w:pStyle w:val="ListBullet"/>
        <w:spacing w:before="0" w:after="50" w:line="269" w:lineRule="auto"/>
      </w:pPr>
      <w:r>
        <w:rPr>
          <w:rFonts w:ascii="Calibri" w:hAnsi="Calibri"/>
          <w:b/>
          <w:color w:val="1F2937"/>
          <w:sz w:val="20"/>
        </w:rPr>
        <w:t xml:space="preserve">2. Predictive Intelligence Layer: </w:t>
      </w:r>
      <w:r>
        <w:rPr>
          <w:rFonts w:ascii="Calibri" w:hAnsi="Calibri"/>
          <w:color w:val="374151"/>
          <w:sz w:val="20"/>
        </w:rPr>
        <w:t>Calculates churn risk probability and identifies specific risk drivers using Logistic Regression log-odds.</w:t>
      </w:r>
    </w:p>
    <w:p>
      <w:pPr>
        <w:pStyle w:val="ListBullet"/>
        <w:spacing w:before="0" w:after="50" w:line="269" w:lineRule="auto"/>
      </w:pPr>
      <w:r>
        <w:rPr>
          <w:rFonts w:ascii="Calibri" w:hAnsi="Calibri"/>
          <w:b/>
          <w:color w:val="1F2937"/>
          <w:sz w:val="20"/>
        </w:rPr>
        <w:t xml:space="preserve">3. Prompt Orchestration Layer: </w:t>
      </w:r>
      <w:r>
        <w:rPr>
          <w:rFonts w:ascii="Calibri" w:hAnsi="Calibri"/>
          <w:color w:val="374151"/>
          <w:sz w:val="20"/>
        </w:rPr>
        <w:t>Transforms telemetry into structured, few-shot prompt instructions enforcing business guardrails and communication goals.</w:t>
      </w:r>
    </w:p>
    <w:p>
      <w:pPr>
        <w:pStyle w:val="ListBullet"/>
        <w:spacing w:before="0" w:after="50" w:line="269" w:lineRule="auto"/>
      </w:pPr>
      <w:r>
        <w:rPr>
          <w:rFonts w:ascii="Calibri" w:hAnsi="Calibri"/>
          <w:b/>
          <w:color w:val="1F2937"/>
          <w:sz w:val="20"/>
        </w:rPr>
        <w:t xml:space="preserve">4. Generative AI Engine (Gemini / LLM): </w:t>
      </w:r>
      <w:r>
        <w:rPr>
          <w:rFonts w:ascii="Calibri" w:hAnsi="Calibri"/>
          <w:color w:val="374151"/>
          <w:sz w:val="20"/>
        </w:rPr>
        <w:t>Executes natural language generation with high empathy, contextual reasoning, and structured output formatting.</w:t>
      </w:r>
    </w:p>
    <w:p>
      <w:pPr>
        <w:pStyle w:val="ListBullet"/>
        <w:spacing w:before="0" w:after="50" w:line="269" w:lineRule="auto"/>
      </w:pPr>
      <w:r>
        <w:rPr>
          <w:rFonts w:ascii="Calibri" w:hAnsi="Calibri"/>
          <w:b/>
          <w:color w:val="1F2937"/>
          <w:sz w:val="20"/>
        </w:rPr>
        <w:t xml:space="preserve">5. Multi-Channel Dispatch Layer: </w:t>
      </w:r>
      <w:r>
        <w:rPr>
          <w:rFonts w:ascii="Calibri" w:hAnsi="Calibri"/>
          <w:color w:val="374151"/>
          <w:sz w:val="20"/>
        </w:rPr>
        <w:t>Formats outputs into customer-facing copy, agent scripts, and JSON payloads for downstream CRM ingestion.</w:t>
      </w:r>
    </w:p>
    <w:p>
      <w:r>
        <w:br w:type="page"/>
      </w:r>
    </w:p>
    <w:p>
      <w:pPr>
        <w:pStyle w:val="Heading1"/>
        <w:keepNext/>
        <w:spacing w:before="0" w:after="80"/>
      </w:pPr>
      <w:r>
        <w:rPr>
          <w:rFonts w:ascii="Calibri" w:hAnsi="Calibri"/>
          <w:b/>
          <w:color w:val="1E3A8A"/>
          <w:sz w:val="28"/>
        </w:rPr>
        <w:t>7. Implementation</w:t>
      </w:r>
    </w:p>
    <w:p>
      <w:pPr>
        <w:keepNext w:val="0"/>
        <w:spacing w:before="0" w:after="60" w:line="269" w:lineRule="auto"/>
      </w:pPr>
      <w:r>
        <w:rPr>
          <w:rFonts w:ascii="Calibri" w:hAnsi="Calibri"/>
          <w:color w:val="374151"/>
          <w:sz w:val="20"/>
        </w:rPr>
        <w:t>The application is implemented using modern Python libraries, reactive web frameworks, and advanced prompt engineering principles:</w:t>
      </w:r>
    </w:p>
    <w:tbl>
      <w:tblPr>
        <w:tblW w:type="auto" w:w="0"/>
        <w:jc w:val="center"/>
        <w:tblLook w:firstColumn="1" w:firstRow="1" w:lastColumn="0" w:lastRow="0" w:noHBand="0" w:noVBand="1" w:val="04A0"/>
      </w:tblPr>
      <w:tblGrid>
        <w:gridCol w:w="5040"/>
        <w:gridCol w:w="5040"/>
      </w:tblGrid>
      <w:tr>
        <w:trPr>
          <w:tblHeader/>
          <w:cantSplit/>
        </w:trPr>
        <w:tc>
          <w:tcPr>
            <w:tcW w:type="dxa" w:w="3024"/>
            <w:shd w:fill="1E3A8A"/>
            <w:tcMar>
              <w:top w:w="80" w:type="dxa"/>
              <w:bottom w:w="80" w:type="dxa"/>
              <w:left w:w="80" w:type="dxa"/>
              <w:right w:w="80" w:type="dxa"/>
            </w:tcMar>
          </w:tcPr>
          <w:p>
            <w:pPr>
              <w:spacing w:after="0"/>
              <w:jc w:val="center"/>
            </w:pPr>
            <w:r>
              <w:rPr>
                <w:rFonts w:ascii="Calibri" w:hAnsi="Calibri"/>
                <w:b/>
                <w:color w:val="FFFFFF"/>
                <w:sz w:val="18"/>
              </w:rPr>
              <w:t>Technical Component</w:t>
            </w:r>
          </w:p>
        </w:tc>
        <w:tc>
          <w:tcPr>
            <w:tcW w:type="dxa" w:w="7056"/>
            <w:shd w:fill="1E3A8A"/>
            <w:tcMar>
              <w:top w:w="80" w:type="dxa"/>
              <w:bottom w:w="80" w:type="dxa"/>
              <w:left w:w="80" w:type="dxa"/>
              <w:right w:w="80" w:type="dxa"/>
            </w:tcMar>
          </w:tcPr>
          <w:p>
            <w:pPr>
              <w:spacing w:after="0"/>
              <w:jc w:val="center"/>
            </w:pPr>
            <w:r>
              <w:rPr>
                <w:rFonts w:ascii="Calibri" w:hAnsi="Calibri"/>
                <w:b/>
                <w:color w:val="FFFFFF"/>
                <w:sz w:val="18"/>
              </w:rPr>
              <w:t>Framework / Technology Selected</w:t>
            </w:r>
          </w:p>
        </w:tc>
      </w:tr>
      <w:tr>
        <w:trPr>
          <w:cantSplit/>
        </w:trPr>
        <w:tc>
          <w:tcPr>
            <w:tcW w:type="dxa" w:w="3024"/>
            <w:shd w:fill="FFFFFF"/>
            <w:tcMar>
              <w:top w:w="40" w:type="dxa"/>
              <w:bottom w:w="40" w:type="dxa"/>
              <w:left w:w="80" w:type="dxa"/>
              <w:right w:w="80" w:type="dxa"/>
            </w:tcMar>
          </w:tcPr>
          <w:p>
            <w:pPr>
              <w:spacing w:after="0"/>
              <w:jc w:val="left"/>
            </w:pPr>
            <w:r>
              <w:rPr>
                <w:rFonts w:ascii="Calibri" w:hAnsi="Calibri"/>
                <w:color w:val="1F2937"/>
                <w:sz w:val="17"/>
              </w:rPr>
              <w:t>Programming Language</w:t>
            </w:r>
          </w:p>
        </w:tc>
        <w:tc>
          <w:tcPr>
            <w:tcW w:type="dxa" w:w="7056"/>
            <w:shd w:fill="FFFFFF"/>
            <w:tcMar>
              <w:top w:w="40" w:type="dxa"/>
              <w:bottom w:w="40" w:type="dxa"/>
              <w:left w:w="80" w:type="dxa"/>
              <w:right w:w="80" w:type="dxa"/>
            </w:tcMar>
          </w:tcPr>
          <w:p>
            <w:pPr>
              <w:spacing w:after="0"/>
              <w:jc w:val="left"/>
            </w:pPr>
            <w:r>
              <w:rPr>
                <w:rFonts w:ascii="Calibri" w:hAnsi="Calibri"/>
                <w:color w:val="1F2937"/>
                <w:sz w:val="17"/>
              </w:rPr>
              <w:t>Python 3.10+ (Backend logic, data processing, prompt engineering)</w:t>
            </w:r>
          </w:p>
        </w:tc>
      </w:tr>
      <w:tr>
        <w:trPr>
          <w:cantSplit/>
        </w:trPr>
        <w:tc>
          <w:tcPr>
            <w:tcW w:type="dxa" w:w="3024"/>
            <w:shd w:fill="F8FAFC"/>
            <w:tcMar>
              <w:top w:w="40" w:type="dxa"/>
              <w:bottom w:w="40" w:type="dxa"/>
              <w:left w:w="80" w:type="dxa"/>
              <w:right w:w="80" w:type="dxa"/>
            </w:tcMar>
          </w:tcPr>
          <w:p>
            <w:pPr>
              <w:spacing w:after="0"/>
              <w:jc w:val="left"/>
            </w:pPr>
            <w:r>
              <w:rPr>
                <w:rFonts w:ascii="Calibri" w:hAnsi="Calibri"/>
                <w:color w:val="1F2937"/>
                <w:sz w:val="17"/>
              </w:rPr>
              <w:t>Frontend &amp; Web UI</w:t>
            </w:r>
          </w:p>
        </w:tc>
        <w:tc>
          <w:tcPr>
            <w:tcW w:type="dxa" w:w="7056"/>
            <w:shd w:fill="F8FAFC"/>
            <w:tcMar>
              <w:top w:w="40" w:type="dxa"/>
              <w:bottom w:w="40" w:type="dxa"/>
              <w:left w:w="80" w:type="dxa"/>
              <w:right w:w="80" w:type="dxa"/>
            </w:tcMar>
          </w:tcPr>
          <w:p>
            <w:pPr>
              <w:spacing w:after="0"/>
              <w:jc w:val="left"/>
            </w:pPr>
            <w:r>
              <w:rPr>
                <w:rFonts w:ascii="Calibri" w:hAnsi="Calibri"/>
                <w:color w:val="1F2937"/>
                <w:sz w:val="17"/>
              </w:rPr>
              <w:t>Streamlit 1.30+ (Glassmorphism dark UI, reactive state management, interactive multi-tab layout)</w:t>
            </w:r>
          </w:p>
        </w:tc>
      </w:tr>
      <w:tr>
        <w:trPr>
          <w:cantSplit/>
        </w:trPr>
        <w:tc>
          <w:tcPr>
            <w:tcW w:type="dxa" w:w="3024"/>
            <w:shd w:fill="FFFFFF"/>
            <w:tcMar>
              <w:top w:w="40" w:type="dxa"/>
              <w:bottom w:w="40" w:type="dxa"/>
              <w:left w:w="80" w:type="dxa"/>
              <w:right w:w="80" w:type="dxa"/>
            </w:tcMar>
          </w:tcPr>
          <w:p>
            <w:pPr>
              <w:spacing w:after="0"/>
              <w:jc w:val="left"/>
            </w:pPr>
            <w:r>
              <w:rPr>
                <w:rFonts w:ascii="Calibri" w:hAnsi="Calibri"/>
                <w:color w:val="1F2937"/>
                <w:sz w:val="17"/>
              </w:rPr>
              <w:t>Generative AI Engine</w:t>
            </w:r>
          </w:p>
        </w:tc>
        <w:tc>
          <w:tcPr>
            <w:tcW w:type="dxa" w:w="7056"/>
            <w:shd w:fill="FFFFFF"/>
            <w:tcMar>
              <w:top w:w="40" w:type="dxa"/>
              <w:bottom w:w="40" w:type="dxa"/>
              <w:left w:w="80" w:type="dxa"/>
              <w:right w:w="80" w:type="dxa"/>
            </w:tcMar>
          </w:tcPr>
          <w:p>
            <w:pPr>
              <w:spacing w:after="0"/>
              <w:jc w:val="left"/>
            </w:pPr>
            <w:r>
              <w:rPr>
                <w:rFonts w:ascii="Calibri" w:hAnsi="Calibri"/>
                <w:color w:val="1F2937"/>
                <w:sz w:val="17"/>
              </w:rPr>
              <w:t>Google Gemini Cloud API (gemini-1.5-flash) &amp; Stochastic Multi-Angle Contextual Engine</w:t>
            </w:r>
          </w:p>
        </w:tc>
      </w:tr>
      <w:tr>
        <w:trPr>
          <w:cantSplit/>
        </w:trPr>
        <w:tc>
          <w:tcPr>
            <w:tcW w:type="dxa" w:w="3024"/>
            <w:shd w:fill="F8FAFC"/>
            <w:tcMar>
              <w:top w:w="40" w:type="dxa"/>
              <w:bottom w:w="40" w:type="dxa"/>
              <w:left w:w="80" w:type="dxa"/>
              <w:right w:w="80" w:type="dxa"/>
            </w:tcMar>
          </w:tcPr>
          <w:p>
            <w:pPr>
              <w:spacing w:after="0"/>
              <w:jc w:val="left"/>
            </w:pPr>
            <w:r>
              <w:rPr>
                <w:rFonts w:ascii="Calibri" w:hAnsi="Calibri"/>
                <w:color w:val="1F2937"/>
                <w:sz w:val="17"/>
              </w:rPr>
              <w:t>Creativity &amp; Temperature</w:t>
            </w:r>
          </w:p>
        </w:tc>
        <w:tc>
          <w:tcPr>
            <w:tcW w:type="dxa" w:w="7056"/>
            <w:shd w:fill="F8FAFC"/>
            <w:tcMar>
              <w:top w:w="40" w:type="dxa"/>
              <w:bottom w:w="40" w:type="dxa"/>
              <w:left w:w="80" w:type="dxa"/>
              <w:right w:w="80" w:type="dxa"/>
            </w:tcMar>
          </w:tcPr>
          <w:p>
            <w:pPr>
              <w:spacing w:after="0"/>
              <w:jc w:val="left"/>
            </w:pPr>
            <w:r>
              <w:rPr>
                <w:rFonts w:ascii="Calibri" w:hAnsi="Calibri"/>
                <w:color w:val="1F2937"/>
                <w:sz w:val="17"/>
              </w:rPr>
              <w:t>Stochastic temperature sampling (0.2 - 1.0) with non-deterministic narrative multi-angle reasoning</w:t>
            </w:r>
          </w:p>
        </w:tc>
      </w:tr>
      <w:tr>
        <w:trPr>
          <w:cantSplit/>
        </w:trPr>
        <w:tc>
          <w:tcPr>
            <w:tcW w:type="dxa" w:w="3024"/>
            <w:shd w:fill="FFFFFF"/>
            <w:tcMar>
              <w:top w:w="40" w:type="dxa"/>
              <w:bottom w:w="40" w:type="dxa"/>
              <w:left w:w="80" w:type="dxa"/>
              <w:right w:w="80" w:type="dxa"/>
            </w:tcMar>
          </w:tcPr>
          <w:p>
            <w:pPr>
              <w:spacing w:after="0"/>
              <w:jc w:val="left"/>
            </w:pPr>
            <w:r>
              <w:rPr>
                <w:rFonts w:ascii="Calibri" w:hAnsi="Calibri"/>
                <w:color w:val="1F2937"/>
                <w:sz w:val="17"/>
              </w:rPr>
              <w:t>Predictive ML Engine</w:t>
            </w:r>
          </w:p>
        </w:tc>
        <w:tc>
          <w:tcPr>
            <w:tcW w:type="dxa" w:w="7056"/>
            <w:shd w:fill="FFFFFF"/>
            <w:tcMar>
              <w:top w:w="40" w:type="dxa"/>
              <w:bottom w:w="40" w:type="dxa"/>
              <w:left w:w="80" w:type="dxa"/>
              <w:right w:w="80" w:type="dxa"/>
            </w:tcMar>
          </w:tcPr>
          <w:p>
            <w:pPr>
              <w:spacing w:after="0"/>
              <w:jc w:val="left"/>
            </w:pPr>
            <w:r>
              <w:rPr>
                <w:rFonts w:ascii="Calibri" w:hAnsi="Calibri"/>
                <w:color w:val="1F2937"/>
                <w:sz w:val="17"/>
              </w:rPr>
              <w:t>Scikit-Learn 1.3+ (Logistic Regression, StandardScaler, OneHotEncoder)</w:t>
            </w:r>
          </w:p>
        </w:tc>
      </w:tr>
      <w:tr>
        <w:trPr>
          <w:cantSplit/>
        </w:trPr>
        <w:tc>
          <w:tcPr>
            <w:tcW w:type="dxa" w:w="3024"/>
            <w:shd w:fill="F8FAFC"/>
            <w:tcMar>
              <w:top w:w="40" w:type="dxa"/>
              <w:bottom w:w="40" w:type="dxa"/>
              <w:left w:w="80" w:type="dxa"/>
              <w:right w:w="80" w:type="dxa"/>
            </w:tcMar>
          </w:tcPr>
          <w:p>
            <w:pPr>
              <w:spacing w:after="0"/>
              <w:jc w:val="left"/>
            </w:pPr>
            <w:r>
              <w:rPr>
                <w:rFonts w:ascii="Calibri" w:hAnsi="Calibri"/>
                <w:color w:val="1F2937"/>
                <w:sz w:val="17"/>
              </w:rPr>
              <w:t>Data Handling &amp; Visuals</w:t>
            </w:r>
          </w:p>
        </w:tc>
        <w:tc>
          <w:tcPr>
            <w:tcW w:type="dxa" w:w="7056"/>
            <w:shd w:fill="F8FAFC"/>
            <w:tcMar>
              <w:top w:w="40" w:type="dxa"/>
              <w:bottom w:w="40" w:type="dxa"/>
              <w:left w:w="80" w:type="dxa"/>
              <w:right w:w="80" w:type="dxa"/>
            </w:tcMar>
          </w:tcPr>
          <w:p>
            <w:pPr>
              <w:spacing w:after="0"/>
              <w:jc w:val="left"/>
            </w:pPr>
            <w:r>
              <w:rPr>
                <w:rFonts w:ascii="Calibri" w:hAnsi="Calibri"/>
                <w:color w:val="1F2937"/>
                <w:sz w:val="17"/>
              </w:rPr>
              <w:t>Pandas, NumPy, Plotly Express &amp; Graph Objects, Matplotlib</w:t>
            </w:r>
          </w:p>
        </w:tc>
      </w:tr>
      <w:tr>
        <w:trPr>
          <w:cantSplit/>
        </w:trPr>
        <w:tc>
          <w:tcPr>
            <w:tcW w:type="dxa" w:w="3024"/>
            <w:shd w:fill="FFFFFF"/>
            <w:tcMar>
              <w:top w:w="40" w:type="dxa"/>
              <w:bottom w:w="40" w:type="dxa"/>
              <w:left w:w="80" w:type="dxa"/>
              <w:right w:w="80" w:type="dxa"/>
            </w:tcMar>
          </w:tcPr>
          <w:p>
            <w:pPr>
              <w:spacing w:after="0"/>
              <w:jc w:val="left"/>
            </w:pPr>
            <w:r>
              <w:rPr>
                <w:rFonts w:ascii="Calibri" w:hAnsi="Calibri"/>
                <w:color w:val="1F2937"/>
                <w:sz w:val="17"/>
              </w:rPr>
              <w:t>Live Cloud Deployment</w:t>
            </w:r>
          </w:p>
        </w:tc>
        <w:tc>
          <w:tcPr>
            <w:tcW w:type="dxa" w:w="7056"/>
            <w:shd w:fill="FFFFFF"/>
            <w:tcMar>
              <w:top w:w="40" w:type="dxa"/>
              <w:bottom w:w="40" w:type="dxa"/>
              <w:left w:w="80" w:type="dxa"/>
              <w:right w:w="80" w:type="dxa"/>
            </w:tcMar>
          </w:tcPr>
          <w:p>
            <w:pPr>
              <w:spacing w:after="0"/>
              <w:jc w:val="left"/>
            </w:pPr>
            <w:r>
              <w:rPr>
                <w:rFonts w:ascii="Calibri" w:hAnsi="Calibri"/>
                <w:color w:val="1F2937"/>
                <w:sz w:val="17"/>
              </w:rPr>
              <w:t>Streamlit Community Cloud (https://telecomcustomers.streamlit.app/)</w:t>
            </w:r>
          </w:p>
        </w:tc>
      </w:tr>
      <w:tr>
        <w:trPr>
          <w:cantSplit/>
        </w:trPr>
        <w:tc>
          <w:tcPr>
            <w:tcW w:type="dxa" w:w="3024"/>
            <w:shd w:fill="F8FAFC"/>
            <w:tcMar>
              <w:top w:w="40" w:type="dxa"/>
              <w:bottom w:w="40" w:type="dxa"/>
              <w:left w:w="80" w:type="dxa"/>
              <w:right w:w="80" w:type="dxa"/>
            </w:tcMar>
          </w:tcPr>
          <w:p>
            <w:pPr>
              <w:spacing w:after="0"/>
              <w:jc w:val="left"/>
            </w:pPr>
            <w:r>
              <w:rPr>
                <w:rFonts w:ascii="Calibri" w:hAnsi="Calibri"/>
                <w:color w:val="1F2937"/>
                <w:sz w:val="17"/>
              </w:rPr>
              <w:t>Source Code Repository</w:t>
            </w:r>
          </w:p>
        </w:tc>
        <w:tc>
          <w:tcPr>
            <w:tcW w:type="dxa" w:w="7056"/>
            <w:shd w:fill="F8FAFC"/>
            <w:tcMar>
              <w:top w:w="40" w:type="dxa"/>
              <w:bottom w:w="40" w:type="dxa"/>
              <w:left w:w="80" w:type="dxa"/>
              <w:right w:w="80" w:type="dxa"/>
            </w:tcMar>
          </w:tcPr>
          <w:p>
            <w:pPr>
              <w:spacing w:after="0"/>
              <w:jc w:val="left"/>
            </w:pPr>
            <w:r>
              <w:rPr>
                <w:rFonts w:ascii="Calibri" w:hAnsi="Calibri"/>
                <w:color w:val="1F2937"/>
                <w:sz w:val="17"/>
              </w:rPr>
              <w:t>GitHub (https://github.com/Likisai/telecom-customer-churn.git)</w:t>
            </w:r>
          </w:p>
        </w:tc>
      </w:tr>
    </w:tbl>
    <w:p>
      <w:pPr>
        <w:pStyle w:val="Heading2"/>
        <w:keepNext/>
        <w:spacing w:before="120" w:after="40"/>
      </w:pPr>
      <w:r>
        <w:rPr>
          <w:rFonts w:ascii="Calibri" w:hAnsi="Calibri"/>
          <w:b/>
          <w:color w:val="2563EB"/>
          <w:sz w:val="23"/>
        </w:rPr>
        <w:t>7.1 Structured Prompt Engineering &amp; Temperature Control</w:t>
      </w:r>
    </w:p>
    <w:tbl>
      <w:tblPr>
        <w:tblW w:type="auto" w:w="0"/>
        <w:jc w:val="center"/>
        <w:tblLook w:firstColumn="1" w:firstRow="1" w:lastColumn="0" w:lastRow="0" w:noHBand="0" w:noVBand="1" w:val="04A0"/>
      </w:tblPr>
      <w:tblGrid>
        <w:gridCol w:w="10080"/>
      </w:tblGrid>
      <w:tr>
        <w:trPr>
          <w:cantSplit/>
        </w:trPr>
        <w:tc>
          <w:tcPr>
            <w:tcW w:type="dxa" w:w="10080"/>
            <w:shd w:fill="0F172A"/>
            <w:tcMar>
              <w:top w:w="90" w:type="dxa"/>
              <w:bottom w:w="90" w:type="dxa"/>
              <w:left w:w="120" w:type="dxa"/>
              <w:right w:w="120" w:type="dxa"/>
            </w:tcMar>
          </w:tcPr>
          <w:p>
            <w:pPr>
              <w:spacing w:after="0" w:line="252" w:lineRule="auto"/>
            </w:pPr>
            <w:r>
              <w:rPr>
                <w:rFonts w:ascii="Consolas" w:hAnsi="Consolas"/>
                <w:color w:val="E2E8F0"/>
                <w:sz w:val="16"/>
              </w:rPr>
              <w:t># Structured System Prompt Template with Temperature Control</w:t>
              <w:br/>
              <w:t>SYSTEM_PROMPT = """</w:t>
              <w:br/>
              <w:t>You are an expert Telecom Retention Strategist &amp; Copywriter. Your mission is to convert high-churn risk subscribers</w:t>
              <w:br/>
              <w:t>into long-term loyal customers through empathetic, personalized, and value-maximizing communications.</w:t>
              <w:br/>
              <w:br/>
              <w:t>USER INPUT CONTEXT:</w:t>
              <w:br/>
              <w:t>- Customer Name: {customer_name} | Predictive ML Churn Risk: {risk_tier} (Probability: {churn_prob:.1%})</w:t>
              <w:br/>
              <w:t>- Account Tenure: {tenure} months | Monthly Bill: ${monthly_charges}/mo | Internet ({internet_service})</w:t>
              <w:br/>
              <w:t>- Top Identified Churn Drivers: {primary_churn_drivers} | Campaign Objective: {campaign_objective}</w:t>
              <w:br/>
              <w:t>- Persona Tone: {persona_tone} | Target Channel: {communication_channel} | Creativity: {temperature}</w:t>
              <w:br/>
              <w:br/>
              <w:t>TASK REQUIREMENTS:</w:t>
              <w:br/>
              <w:t>1. CUSTOMER COMMUNICATION: Draft an empathetic, high-converting message resolving their specific pain points.</w:t>
              <w:br/>
              <w:t>2. AGENT OBJECTION SCRIPT: Provide 3 exact objection rebuttals for call center agents.</w:t>
              <w:br/>
              <w:t>3. CONCESSION MATRIX: Generate a 4-tier concession hierarchy protecting company margins.</w:t>
              <w:br/>
              <w:t>4. CRM PAYLOAD: Output a validated JSON payload ready for automated CRM queueing.</w:t>
              <w:br/>
              <w:t>"""</w:t>
            </w:r>
          </w:p>
        </w:tc>
      </w:tr>
    </w:tbl>
    <w:p>
      <w:pPr>
        <w:spacing w:after="60"/>
      </w:pPr>
    </w:p>
    <w:p>
      <w:pPr>
        <w:pStyle w:val="Heading2"/>
        <w:keepNext/>
        <w:spacing w:before="100" w:after="40"/>
      </w:pPr>
      <w:r>
        <w:rPr>
          <w:rFonts w:ascii="Calibri" w:hAnsi="Calibri"/>
          <w:b/>
          <w:color w:val="2563EB"/>
          <w:sz w:val="23"/>
        </w:rPr>
        <w:t>7.2 Stochastic Multi-Angle Reasoning &amp; Dynamic Execution</w:t>
      </w:r>
    </w:p>
    <w:tbl>
      <w:tblPr>
        <w:tblW w:type="auto" w:w="0"/>
        <w:jc w:val="center"/>
        <w:tblLook w:firstColumn="1" w:firstRow="1" w:lastColumn="0" w:lastRow="0" w:noHBand="0" w:noVBand="1" w:val="04A0"/>
      </w:tblPr>
      <w:tblGrid>
        <w:gridCol w:w="10080"/>
      </w:tblGrid>
      <w:tr>
        <w:trPr>
          <w:cantSplit/>
        </w:trPr>
        <w:tc>
          <w:tcPr>
            <w:tcW w:type="dxa" w:w="10080"/>
            <w:shd w:fill="0F172A"/>
            <w:tcMar>
              <w:top w:w="90" w:type="dxa"/>
              <w:bottom w:w="90" w:type="dxa"/>
              <w:left w:w="120" w:type="dxa"/>
              <w:right w:w="120" w:type="dxa"/>
            </w:tcMar>
          </w:tcPr>
          <w:p>
            <w:pPr>
              <w:spacing w:after="0" w:line="252" w:lineRule="auto"/>
            </w:pPr>
            <w:r>
              <w:rPr>
                <w:rFonts w:ascii="Consolas" w:hAnsi="Consolas"/>
                <w:color w:val="E2E8F0"/>
                <w:sz w:val="16"/>
              </w:rPr>
              <w:t># Dynamic Stochastic GenAI Generation &amp; Dispatch Function</w:t>
              <w:br/>
              <w:t>def generate_dynamic_retention_campaign(c_name, c_risk_tier, c_tenure, c_mcharges, c_drivers, c_goal, c_tone, c_channel, temperature=0.85, api_key=None):</w:t>
              <w:br/>
              <w:t xml:space="preserve">    chosen_hook = random.choice(narrative_hooks) # Stochastic Framing Sampling</w:t>
              <w:br/>
              <w:t xml:space="preserve">    base_disc = 0.25 if "Emergency" in c_goal else 0.20</w:t>
              <w:br/>
              <w:t xml:space="preserve">    final_disc_rate = max(0.10, min(0.35, base_disc + random.choice([-0.02, 0.0, 0.02])))</w:t>
              <w:br/>
              <w:t xml:space="preserve">    if api_key:</w:t>
              <w:br/>
              <w:t xml:space="preserve">        return call_google_gemini_api(prompt, temperature=temperature)</w:t>
              <w:br/>
              <w:t xml:space="preserve">    return assemble_retention_payload(c_name, final_disc_rate, chosen_hook, ...)</w:t>
            </w:r>
          </w:p>
        </w:tc>
      </w:tr>
    </w:tbl>
    <w:p>
      <w:pPr>
        <w:spacing w:after="60"/>
      </w:pPr>
    </w:p>
    <w:p>
      <w:pPr>
        <w:pStyle w:val="Heading2"/>
        <w:keepNext/>
        <w:spacing w:before="120" w:after="40"/>
      </w:pPr>
      <w:r>
        <w:rPr>
          <w:rFonts w:ascii="Calibri" w:hAnsi="Calibri"/>
          <w:b/>
          <w:color w:val="2563EB"/>
          <w:sz w:val="23"/>
        </w:rPr>
        <w:t>7.3 Enterprise Database &amp; CRM Persistence Layer (MySQL &amp; SQLite)</w:t>
      </w:r>
    </w:p>
    <w:p>
      <w:pPr>
        <w:keepNext w:val="0"/>
        <w:spacing w:before="0" w:after="60" w:line="269" w:lineRule="auto"/>
      </w:pPr>
      <w:r>
        <w:rPr>
          <w:rFonts w:ascii="Calibri" w:hAnsi="Calibri"/>
          <w:color w:val="374151"/>
          <w:sz w:val="20"/>
        </w:rPr>
        <w:t>TelcoPulse AI implements a robust dual database architecture that supports high-throughput relational persistence via MySQL (XAMPP port 3306) with seamless, zero-configuration local SQLite fallback. The database layer automatically initializes schema tables for customer diagnostic records, GenAI retention campaign logs, and batch inference runs.</w:t>
      </w:r>
    </w:p>
    <w:p>
      <w:pPr>
        <w:pStyle w:val="ListBullet"/>
        <w:spacing w:before="0" w:after="50" w:line="269" w:lineRule="auto"/>
      </w:pPr>
      <w:r>
        <w:rPr>
          <w:rFonts w:ascii="Calibri" w:hAnsi="Calibri"/>
          <w:b/>
          <w:color w:val="1F2937"/>
          <w:sz w:val="20"/>
        </w:rPr>
        <w:t xml:space="preserve">1. Prediction Records Table (customer_predictions): </w:t>
      </w:r>
      <w:r>
        <w:rPr>
          <w:rFonts w:ascii="Calibri" w:hAnsi="Calibri"/>
          <w:color w:val="374151"/>
          <w:sz w:val="20"/>
        </w:rPr>
        <w:t>Stores complete customer telemetry, features, ML churn probabilities, risk tiers, and mathematical feature contributions.</w:t>
      </w:r>
    </w:p>
    <w:p>
      <w:pPr>
        <w:pStyle w:val="ListBullet"/>
        <w:spacing w:before="0" w:after="50" w:line="269" w:lineRule="auto"/>
      </w:pPr>
      <w:r>
        <w:rPr>
          <w:rFonts w:ascii="Calibri" w:hAnsi="Calibri"/>
          <w:b/>
          <w:color w:val="1F2937"/>
          <w:sz w:val="20"/>
        </w:rPr>
        <w:t xml:space="preserve">2. Retention Campaigns Table (retention_campaigns): </w:t>
      </w:r>
      <w:r>
        <w:rPr>
          <w:rFonts w:ascii="Calibri" w:hAnsi="Calibri"/>
          <w:color w:val="374151"/>
          <w:sz w:val="20"/>
        </w:rPr>
        <w:t>Tracks generated emails, negotiation scripts, concession tiers, promo codes, and CRM campaign lifecycle statuses (Draft -&gt; Dispatched -&gt; Retained -&gt; Churned).</w:t>
      </w:r>
    </w:p>
    <w:p>
      <w:pPr>
        <w:pStyle w:val="ListBullet"/>
        <w:spacing w:before="0" w:after="50" w:line="269" w:lineRule="auto"/>
      </w:pPr>
      <w:r>
        <w:rPr>
          <w:rFonts w:ascii="Calibri" w:hAnsi="Calibri"/>
          <w:b/>
          <w:color w:val="1F2937"/>
          <w:sz w:val="20"/>
        </w:rPr>
        <w:t xml:space="preserve">3. Analytical SQL Sandbox: </w:t>
      </w:r>
      <w:r>
        <w:rPr>
          <w:rFonts w:ascii="Calibri" w:hAnsi="Calibri"/>
          <w:color w:val="374151"/>
          <w:sz w:val="20"/>
        </w:rPr>
        <w:t>Enables business intelligence and data science teams to execute real-time ad-hoc SQL queries and export results directly within the application.</w:t>
      </w:r>
    </w:p>
    <w:p>
      <w:pPr>
        <w:pStyle w:val="Heading2"/>
        <w:keepNext/>
        <w:spacing w:before="120" w:after="40"/>
      </w:pPr>
      <w:r>
        <w:rPr>
          <w:rFonts w:ascii="Calibri" w:hAnsi="Calibri"/>
          <w:b/>
          <w:color w:val="2563EB"/>
          <w:sz w:val="23"/>
        </w:rPr>
        <w:t>7.4 Live Google Gemini Cloud LLM Integration</w:t>
      </w:r>
    </w:p>
    <w:p>
      <w:pPr>
        <w:keepNext w:val="0"/>
        <w:spacing w:before="0" w:after="60" w:line="269" w:lineRule="auto"/>
      </w:pPr>
      <w:r>
        <w:rPr>
          <w:rFonts w:ascii="Calibri" w:hAnsi="Calibri"/>
          <w:color w:val="374151"/>
          <w:sz w:val="20"/>
        </w:rPr>
        <w:t>The system seamlessly interfaces with Google's state-of-the-art Gemini LLM API (gemini-1.5-flash) for live cloud-native generative inference. The application is pre-configured with a default active Gemini API key while providing an editable UI text input, dynamically adapting the copywriting narrative based on real-time subscriber churn drivers, temperature parameters, and target outreach channels.</w:t>
      </w:r>
    </w:p>
    <w:p>
      <w:r>
        <w:br w:type="page"/>
      </w:r>
    </w:p>
    <w:p>
      <w:pPr>
        <w:pStyle w:val="Heading1"/>
        <w:keepNext/>
        <w:spacing w:before="0" w:after="60"/>
      </w:pPr>
      <w:r>
        <w:rPr>
          <w:rFonts w:ascii="Calibri" w:hAnsi="Calibri"/>
          <w:b/>
          <w:color w:val="1E3A8A"/>
          <w:sz w:val="28"/>
        </w:rPr>
        <w:t>8. User Interface: 8.1 GenAI Customer Retention Copilot Interface</w:t>
      </w:r>
    </w:p>
    <w:p>
      <w:pPr>
        <w:keepNext w:val="0"/>
        <w:spacing w:before="0" w:after="80" w:line="269" w:lineRule="auto"/>
      </w:pPr>
      <w:r>
        <w:rPr>
          <w:rFonts w:ascii="Calibri" w:hAnsi="Calibri"/>
          <w:color w:val="374151"/>
          <w:sz w:val="20"/>
        </w:rPr>
        <w:t>The GenAI Retention Copilot provides an end-to-end interface for campaign managers and frontline retention agents. Users configure subscriber telemetry, select tone personas, adjust the Creativity / Temperature slider (0.2 - 1.0), and generate instant multi-channel retention packages across four synchronized tabs.</w:t>
      </w:r>
    </w:p>
    <w:p>
      <w:r>
        <w:drawing>
          <wp:inline xmlns:a="http://schemas.openxmlformats.org/drawingml/2006/main" xmlns:pic="http://schemas.openxmlformats.org/drawingml/2006/picture">
            <wp:extent cx="5669280" cy="3720465"/>
            <wp:docPr id="2" name="Picture 2"/>
            <wp:cNvGraphicFramePr>
              <a:graphicFrameLocks noChangeAspect="1"/>
            </wp:cNvGraphicFramePr>
            <a:graphic>
              <a:graphicData uri="http://schemas.openxmlformats.org/drawingml/2006/picture">
                <pic:pic>
                  <pic:nvPicPr>
                    <pic:cNvPr id="0" name="10_genai_copilot_ui.png"/>
                    <pic:cNvPicPr/>
                  </pic:nvPicPr>
                  <pic:blipFill>
                    <a:blip r:embed="rId12"/>
                    <a:stretch>
                      <a:fillRect/>
                    </a:stretch>
                  </pic:blipFill>
                  <pic:spPr>
                    <a:xfrm>
                      <a:off x="0" y="0"/>
                      <a:ext cx="5669280" cy="3720465"/>
                    </a:xfrm>
                    <a:prstGeom prst="rect"/>
                  </pic:spPr>
                </pic:pic>
              </a:graphicData>
            </a:graphic>
          </wp:inline>
        </w:drawing>
      </w:r>
    </w:p>
    <w:p>
      <w:pPr>
        <w:spacing w:before="40" w:after="80"/>
        <w:jc w:val="center"/>
      </w:pPr>
      <w:r>
        <w:rPr>
          <w:rFonts w:ascii="Calibri" w:hAnsi="Calibri"/>
          <w:i/>
          <w:color w:val="6B7280"/>
          <w:sz w:val="17"/>
        </w:rPr>
        <w:t>Figure 2: GenAI Customer Retention Copilot Interface &amp; Generated Assets</w:t>
      </w:r>
    </w:p>
    <w:tbl>
      <w:tblPr>
        <w:tblW w:type="auto" w:w="0"/>
        <w:jc w:val="center"/>
        <w:tblLook w:firstColumn="1" w:firstRow="1" w:lastColumn="0" w:lastRow="0" w:noHBand="0" w:noVBand="1" w:val="04A0"/>
      </w:tblPr>
      <w:tblGrid>
        <w:gridCol w:w="5040"/>
        <w:gridCol w:w="5040"/>
      </w:tblGrid>
      <w:tr>
        <w:trPr>
          <w:tblHeader/>
          <w:cantSplit/>
        </w:trPr>
        <w:tc>
          <w:tcPr>
            <w:tcW w:type="dxa" w:w="3168"/>
            <w:shd w:fill="1E3A8A"/>
            <w:tcMar>
              <w:top w:w="80" w:type="dxa"/>
              <w:bottom w:w="80" w:type="dxa"/>
              <w:left w:w="80" w:type="dxa"/>
              <w:right w:w="80" w:type="dxa"/>
            </w:tcMar>
          </w:tcPr>
          <w:p>
            <w:pPr>
              <w:spacing w:after="0"/>
              <w:jc w:val="center"/>
            </w:pPr>
            <w:r>
              <w:rPr>
                <w:rFonts w:ascii="Calibri" w:hAnsi="Calibri"/>
                <w:b/>
                <w:color w:val="FFFFFF"/>
                <w:sz w:val="18"/>
              </w:rPr>
              <w:t>Key Feature / UI Component</w:t>
            </w:r>
          </w:p>
        </w:tc>
        <w:tc>
          <w:tcPr>
            <w:tcW w:type="dxa" w:w="6912"/>
            <w:shd w:fill="1E3A8A"/>
            <w:tcMar>
              <w:top w:w="80" w:type="dxa"/>
              <w:bottom w:w="80" w:type="dxa"/>
              <w:left w:w="80" w:type="dxa"/>
              <w:right w:w="80" w:type="dxa"/>
            </w:tcMar>
          </w:tcPr>
          <w:p>
            <w:pPr>
              <w:spacing w:after="0"/>
              <w:jc w:val="center"/>
            </w:pPr>
            <w:r>
              <w:rPr>
                <w:rFonts w:ascii="Calibri" w:hAnsi="Calibri"/>
                <w:b/>
                <w:color w:val="FFFFFF"/>
                <w:sz w:val="18"/>
              </w:rPr>
              <w:t>Operational Purpose &amp; Business Value</w:t>
            </w:r>
          </w:p>
        </w:tc>
      </w:tr>
      <w:tr>
        <w:trPr>
          <w:cantSplit/>
        </w:trPr>
        <w:tc>
          <w:tcPr>
            <w:tcW w:type="dxa" w:w="3168"/>
            <w:shd w:fill="FFFFFF"/>
            <w:tcMar>
              <w:top w:w="35" w:type="dxa"/>
              <w:bottom w:w="35" w:type="dxa"/>
              <w:left w:w="80" w:type="dxa"/>
              <w:right w:w="80" w:type="dxa"/>
            </w:tcMar>
          </w:tcPr>
          <w:p>
            <w:pPr>
              <w:spacing w:after="0"/>
              <w:jc w:val="left"/>
            </w:pPr>
            <w:r>
              <w:rPr>
                <w:rFonts w:ascii="Calibri" w:hAnsi="Calibri"/>
                <w:color w:val="1F2937"/>
                <w:sz w:val="17"/>
              </w:rPr>
              <w:t>Prompt Configuration Sidebar</w:t>
            </w:r>
          </w:p>
        </w:tc>
        <w:tc>
          <w:tcPr>
            <w:tcW w:type="dxa" w:w="6912"/>
            <w:shd w:fill="FFFFFF"/>
            <w:tcMar>
              <w:top w:w="35" w:type="dxa"/>
              <w:bottom w:w="35" w:type="dxa"/>
              <w:left w:w="80" w:type="dxa"/>
              <w:right w:w="80" w:type="dxa"/>
            </w:tcMar>
          </w:tcPr>
          <w:p>
            <w:pPr>
              <w:spacing w:after="0"/>
              <w:jc w:val="left"/>
            </w:pPr>
            <w:r>
              <w:rPr>
                <w:rFonts w:ascii="Calibri" w:hAnsi="Calibri"/>
                <w:color w:val="1F2937"/>
                <w:sz w:val="17"/>
              </w:rPr>
              <w:t>Controls customer profile, tenure, monthly billing, risk tiers, and campaign objectives.</w:t>
            </w:r>
          </w:p>
        </w:tc>
      </w:tr>
      <w:tr>
        <w:trPr>
          <w:cantSplit/>
        </w:trPr>
        <w:tc>
          <w:tcPr>
            <w:tcW w:type="dxa" w:w="3168"/>
            <w:shd w:fill="F8FAFC"/>
            <w:tcMar>
              <w:top w:w="35" w:type="dxa"/>
              <w:bottom w:w="35" w:type="dxa"/>
              <w:left w:w="80" w:type="dxa"/>
              <w:right w:w="80" w:type="dxa"/>
            </w:tcMar>
          </w:tcPr>
          <w:p>
            <w:pPr>
              <w:spacing w:after="0"/>
              <w:jc w:val="left"/>
            </w:pPr>
            <w:r>
              <w:rPr>
                <w:rFonts w:ascii="Calibri" w:hAnsi="Calibri"/>
                <w:color w:val="1F2937"/>
                <w:sz w:val="17"/>
              </w:rPr>
              <w:t>Creativity &amp; Temperature Slider</w:t>
            </w:r>
          </w:p>
        </w:tc>
        <w:tc>
          <w:tcPr>
            <w:tcW w:type="dxa" w:w="6912"/>
            <w:shd w:fill="F8FAFC"/>
            <w:tcMar>
              <w:top w:w="35" w:type="dxa"/>
              <w:bottom w:w="35" w:type="dxa"/>
              <w:left w:w="80" w:type="dxa"/>
              <w:right w:w="80" w:type="dxa"/>
            </w:tcMar>
          </w:tcPr>
          <w:p>
            <w:pPr>
              <w:spacing w:after="0"/>
              <w:jc w:val="left"/>
            </w:pPr>
            <w:r>
              <w:rPr>
                <w:rFonts w:ascii="Calibri" w:hAnsi="Calibri"/>
                <w:color w:val="1F2937"/>
                <w:sz w:val="17"/>
              </w:rPr>
              <w:t>Controls model randomness (0.2 deterministic to 1.0 highly creative).</w:t>
            </w:r>
          </w:p>
        </w:tc>
      </w:tr>
      <w:tr>
        <w:trPr>
          <w:cantSplit/>
        </w:trPr>
        <w:tc>
          <w:tcPr>
            <w:tcW w:type="dxa" w:w="3168"/>
            <w:shd w:fill="FFFFFF"/>
            <w:tcMar>
              <w:top w:w="35" w:type="dxa"/>
              <w:bottom w:w="35" w:type="dxa"/>
              <w:left w:w="80" w:type="dxa"/>
              <w:right w:w="80" w:type="dxa"/>
            </w:tcMar>
          </w:tcPr>
          <w:p>
            <w:pPr>
              <w:spacing w:after="0"/>
              <w:jc w:val="left"/>
            </w:pPr>
            <w:r>
              <w:rPr>
                <w:rFonts w:ascii="Calibri" w:hAnsi="Calibri"/>
                <w:color w:val="1F2937"/>
                <w:sz w:val="17"/>
              </w:rPr>
              <w:t>Generated Email &amp; SMS Copy</w:t>
            </w:r>
          </w:p>
        </w:tc>
        <w:tc>
          <w:tcPr>
            <w:tcW w:type="dxa" w:w="6912"/>
            <w:shd w:fill="FFFFFF"/>
            <w:tcMar>
              <w:top w:w="35" w:type="dxa"/>
              <w:bottom w:w="35" w:type="dxa"/>
              <w:left w:w="80" w:type="dxa"/>
              <w:right w:w="80" w:type="dxa"/>
            </w:tcMar>
          </w:tcPr>
          <w:p>
            <w:pPr>
              <w:spacing w:after="0"/>
              <w:jc w:val="left"/>
            </w:pPr>
            <w:r>
              <w:rPr>
                <w:rFonts w:ascii="Calibri" w:hAnsi="Calibri"/>
                <w:color w:val="1F2937"/>
                <w:sz w:val="17"/>
              </w:rPr>
              <w:t>Empathetic, benefit-focused messaging personalized to subscriber tenure and pain points.</w:t>
            </w:r>
          </w:p>
        </w:tc>
      </w:tr>
      <w:tr>
        <w:trPr>
          <w:cantSplit/>
        </w:trPr>
        <w:tc>
          <w:tcPr>
            <w:tcW w:type="dxa" w:w="3168"/>
            <w:shd w:fill="F8FAFC"/>
            <w:tcMar>
              <w:top w:w="35" w:type="dxa"/>
              <w:bottom w:w="35" w:type="dxa"/>
              <w:left w:w="80" w:type="dxa"/>
              <w:right w:w="80" w:type="dxa"/>
            </w:tcMar>
          </w:tcPr>
          <w:p>
            <w:pPr>
              <w:spacing w:after="0"/>
              <w:jc w:val="left"/>
            </w:pPr>
            <w:r>
              <w:rPr>
                <w:rFonts w:ascii="Calibri" w:hAnsi="Calibri"/>
                <w:color w:val="1F2937"/>
                <w:sz w:val="17"/>
              </w:rPr>
              <w:t>Agent Script &amp; Concession Matrix</w:t>
            </w:r>
          </w:p>
        </w:tc>
        <w:tc>
          <w:tcPr>
            <w:tcW w:type="dxa" w:w="6912"/>
            <w:shd w:fill="F8FAFC"/>
            <w:tcMar>
              <w:top w:w="35" w:type="dxa"/>
              <w:bottom w:w="35" w:type="dxa"/>
              <w:left w:w="80" w:type="dxa"/>
              <w:right w:w="80" w:type="dxa"/>
            </w:tcMar>
          </w:tcPr>
          <w:p>
            <w:pPr>
              <w:spacing w:after="0"/>
              <w:jc w:val="left"/>
            </w:pPr>
            <w:r>
              <w:rPr>
                <w:rFonts w:ascii="Calibri" w:hAnsi="Calibri"/>
                <w:color w:val="1F2937"/>
                <w:sz w:val="17"/>
              </w:rPr>
              <w:t>Live call objections rebuttals and structured 4-tier discount hierarchies.</w:t>
            </w:r>
          </w:p>
        </w:tc>
      </w:tr>
    </w:tbl>
    <w:p>
      <w:r>
        <w:br w:type="page"/>
      </w:r>
    </w:p>
    <w:p>
      <w:pPr>
        <w:pStyle w:val="Heading1"/>
        <w:keepNext/>
        <w:spacing w:before="0" w:after="60"/>
      </w:pPr>
      <w:r>
        <w:rPr>
          <w:rFonts w:ascii="Calibri" w:hAnsi="Calibri"/>
          <w:b/>
          <w:color w:val="1E3A8A"/>
          <w:sz w:val="28"/>
        </w:rPr>
        <w:t>8. User Interface: 8.2 Single Customer Risk Diagnosis &amp; Speedometer Gauge</w:t>
      </w:r>
    </w:p>
    <w:p>
      <w:pPr>
        <w:keepNext w:val="0"/>
        <w:spacing w:before="0" w:after="80" w:line="269" w:lineRule="auto"/>
      </w:pPr>
      <w:r>
        <w:rPr>
          <w:rFonts w:ascii="Calibri" w:hAnsi="Calibri"/>
          <w:color w:val="374151"/>
          <w:sz w:val="20"/>
        </w:rPr>
        <w:t>The Single Customer Diagnosis module provides immediate predictive risk scoring on individual accounts. It features a color-calibrated speedometer gauge (&lt;30% Safe, 30-60% Moderate, &gt;60% Critical), annual financial exposure calculation ($/year), and localized log-odds feature attribution.</w:t>
      </w:r>
    </w:p>
    <w:p>
      <w:r>
        <w:drawing>
          <wp:inline xmlns:a="http://schemas.openxmlformats.org/drawingml/2006/main" xmlns:pic="http://schemas.openxmlformats.org/drawingml/2006/picture">
            <wp:extent cx="5669280" cy="3720465"/>
            <wp:docPr id="3" name="Picture 3"/>
            <wp:cNvGraphicFramePr>
              <a:graphicFrameLocks noChangeAspect="1"/>
            </wp:cNvGraphicFramePr>
            <a:graphic>
              <a:graphicData uri="http://schemas.openxmlformats.org/drawingml/2006/picture">
                <pic:pic>
                  <pic:nvPicPr>
                    <pic:cNvPr id="0" name="01_single_customer_diagnosis.png"/>
                    <pic:cNvPicPr/>
                  </pic:nvPicPr>
                  <pic:blipFill>
                    <a:blip r:embed="rId13"/>
                    <a:stretch>
                      <a:fillRect/>
                    </a:stretch>
                  </pic:blipFill>
                  <pic:spPr>
                    <a:xfrm>
                      <a:off x="0" y="0"/>
                      <a:ext cx="5669280" cy="3720465"/>
                    </a:xfrm>
                    <a:prstGeom prst="rect"/>
                  </pic:spPr>
                </pic:pic>
              </a:graphicData>
            </a:graphic>
          </wp:inline>
        </w:drawing>
      </w:r>
    </w:p>
    <w:p>
      <w:pPr>
        <w:spacing w:before="40" w:after="80"/>
        <w:jc w:val="center"/>
      </w:pPr>
      <w:r>
        <w:rPr>
          <w:rFonts w:ascii="Calibri" w:hAnsi="Calibri"/>
          <w:i/>
          <w:color w:val="6B7280"/>
          <w:sz w:val="17"/>
        </w:rPr>
        <w:t>Figure 3: Single Customer Risk Diagnosis &amp; Speedometer Gauge</w:t>
      </w:r>
    </w:p>
    <w:tbl>
      <w:tblPr>
        <w:tblW w:type="auto" w:w="0"/>
        <w:jc w:val="center"/>
        <w:tblLook w:firstColumn="1" w:firstRow="1" w:lastColumn="0" w:lastRow="0" w:noHBand="0" w:noVBand="1" w:val="04A0"/>
      </w:tblPr>
      <w:tblGrid>
        <w:gridCol w:w="5040"/>
        <w:gridCol w:w="5040"/>
      </w:tblGrid>
      <w:tr>
        <w:trPr>
          <w:tblHeader/>
          <w:cantSplit/>
        </w:trPr>
        <w:tc>
          <w:tcPr>
            <w:tcW w:type="dxa" w:w="3168"/>
            <w:shd w:fill="1E3A8A"/>
            <w:tcMar>
              <w:top w:w="80" w:type="dxa"/>
              <w:bottom w:w="80" w:type="dxa"/>
              <w:left w:w="80" w:type="dxa"/>
              <w:right w:w="80" w:type="dxa"/>
            </w:tcMar>
          </w:tcPr>
          <w:p>
            <w:pPr>
              <w:spacing w:after="0"/>
              <w:jc w:val="center"/>
            </w:pPr>
            <w:r>
              <w:rPr>
                <w:rFonts w:ascii="Calibri" w:hAnsi="Calibri"/>
                <w:b/>
                <w:color w:val="FFFFFF"/>
                <w:sz w:val="18"/>
              </w:rPr>
              <w:t>Key Feature / UI Component</w:t>
            </w:r>
          </w:p>
        </w:tc>
        <w:tc>
          <w:tcPr>
            <w:tcW w:type="dxa" w:w="6912"/>
            <w:shd w:fill="1E3A8A"/>
            <w:tcMar>
              <w:top w:w="80" w:type="dxa"/>
              <w:bottom w:w="80" w:type="dxa"/>
              <w:left w:w="80" w:type="dxa"/>
              <w:right w:w="80" w:type="dxa"/>
            </w:tcMar>
          </w:tcPr>
          <w:p>
            <w:pPr>
              <w:spacing w:after="0"/>
              <w:jc w:val="center"/>
            </w:pPr>
            <w:r>
              <w:rPr>
                <w:rFonts w:ascii="Calibri" w:hAnsi="Calibri"/>
                <w:b/>
                <w:color w:val="FFFFFF"/>
                <w:sz w:val="18"/>
              </w:rPr>
              <w:t>Operational Purpose &amp; Business Value</w:t>
            </w:r>
          </w:p>
        </w:tc>
      </w:tr>
      <w:tr>
        <w:trPr>
          <w:cantSplit/>
        </w:trPr>
        <w:tc>
          <w:tcPr>
            <w:tcW w:type="dxa" w:w="3168"/>
            <w:shd w:fill="FFFFFF"/>
            <w:tcMar>
              <w:top w:w="35" w:type="dxa"/>
              <w:bottom w:w="35" w:type="dxa"/>
              <w:left w:w="80" w:type="dxa"/>
              <w:right w:w="80" w:type="dxa"/>
            </w:tcMar>
          </w:tcPr>
          <w:p>
            <w:pPr>
              <w:spacing w:after="0"/>
              <w:jc w:val="left"/>
            </w:pPr>
            <w:r>
              <w:rPr>
                <w:rFonts w:ascii="Calibri" w:hAnsi="Calibri"/>
                <w:color w:val="1F2937"/>
                <w:sz w:val="17"/>
              </w:rPr>
              <w:t>Interactive Speedometer Gauge</w:t>
            </w:r>
          </w:p>
        </w:tc>
        <w:tc>
          <w:tcPr>
            <w:tcW w:type="dxa" w:w="6912"/>
            <w:shd w:fill="FFFFFF"/>
            <w:tcMar>
              <w:top w:w="35" w:type="dxa"/>
              <w:bottom w:w="35" w:type="dxa"/>
              <w:left w:w="80" w:type="dxa"/>
              <w:right w:w="80" w:type="dxa"/>
            </w:tcMar>
          </w:tcPr>
          <w:p>
            <w:pPr>
              <w:spacing w:after="0"/>
              <w:jc w:val="left"/>
            </w:pPr>
            <w:r>
              <w:rPr>
                <w:rFonts w:ascii="Calibri" w:hAnsi="Calibri"/>
                <w:color w:val="1F2937"/>
                <w:sz w:val="17"/>
              </w:rPr>
              <w:t>Visualizes real-time churn probability percentage and associated risk category.</w:t>
            </w:r>
          </w:p>
        </w:tc>
      </w:tr>
      <w:tr>
        <w:trPr>
          <w:cantSplit/>
        </w:trPr>
        <w:tc>
          <w:tcPr>
            <w:tcW w:type="dxa" w:w="3168"/>
            <w:shd w:fill="F8FAFC"/>
            <w:tcMar>
              <w:top w:w="35" w:type="dxa"/>
              <w:bottom w:w="35" w:type="dxa"/>
              <w:left w:w="80" w:type="dxa"/>
              <w:right w:w="80" w:type="dxa"/>
            </w:tcMar>
          </w:tcPr>
          <w:p>
            <w:pPr>
              <w:spacing w:after="0"/>
              <w:jc w:val="left"/>
            </w:pPr>
            <w:r>
              <w:rPr>
                <w:rFonts w:ascii="Calibri" w:hAnsi="Calibri"/>
                <w:color w:val="1F2937"/>
                <w:sz w:val="17"/>
              </w:rPr>
              <w:t>Financial Exposure Meter</w:t>
            </w:r>
          </w:p>
        </w:tc>
        <w:tc>
          <w:tcPr>
            <w:tcW w:type="dxa" w:w="6912"/>
            <w:shd w:fill="F8FAFC"/>
            <w:tcMar>
              <w:top w:w="35" w:type="dxa"/>
              <w:bottom w:w="35" w:type="dxa"/>
              <w:left w:w="80" w:type="dxa"/>
              <w:right w:w="80" w:type="dxa"/>
            </w:tcMar>
          </w:tcPr>
          <w:p>
            <w:pPr>
              <w:spacing w:after="0"/>
              <w:jc w:val="left"/>
            </w:pPr>
            <w:r>
              <w:rPr>
                <w:rFonts w:ascii="Calibri" w:hAnsi="Calibri"/>
                <w:color w:val="1F2937"/>
                <w:sz w:val="17"/>
              </w:rPr>
              <w:t>Calculates expected annual revenue loss if the subscriber terminates service.</w:t>
            </w:r>
          </w:p>
        </w:tc>
      </w:tr>
      <w:tr>
        <w:trPr>
          <w:cantSplit/>
        </w:trPr>
        <w:tc>
          <w:tcPr>
            <w:tcW w:type="dxa" w:w="3168"/>
            <w:shd w:fill="FFFFFF"/>
            <w:tcMar>
              <w:top w:w="35" w:type="dxa"/>
              <w:bottom w:w="35" w:type="dxa"/>
              <w:left w:w="80" w:type="dxa"/>
              <w:right w:w="80" w:type="dxa"/>
            </w:tcMar>
          </w:tcPr>
          <w:p>
            <w:pPr>
              <w:spacing w:after="0"/>
              <w:jc w:val="left"/>
            </w:pPr>
            <w:r>
              <w:rPr>
                <w:rFonts w:ascii="Calibri" w:hAnsi="Calibri"/>
                <w:color w:val="1F2937"/>
                <w:sz w:val="17"/>
              </w:rPr>
              <w:t>Top Churn Drivers Waterfall</w:t>
            </w:r>
          </w:p>
        </w:tc>
        <w:tc>
          <w:tcPr>
            <w:tcW w:type="dxa" w:w="6912"/>
            <w:shd w:fill="FFFFFF"/>
            <w:tcMar>
              <w:top w:w="35" w:type="dxa"/>
              <w:bottom w:w="35" w:type="dxa"/>
              <w:left w:w="80" w:type="dxa"/>
              <w:right w:w="80" w:type="dxa"/>
            </w:tcMar>
          </w:tcPr>
          <w:p>
            <w:pPr>
              <w:spacing w:after="0"/>
              <w:jc w:val="left"/>
            </w:pPr>
            <w:r>
              <w:rPr>
                <w:rFonts w:ascii="Calibri" w:hAnsi="Calibri"/>
                <w:color w:val="1F2937"/>
                <w:sz w:val="17"/>
              </w:rPr>
              <w:t>Ranks the highest contributing risk factors (e.g. Month-to-Month, Fiber Optic).</w:t>
            </w:r>
          </w:p>
        </w:tc>
      </w:tr>
      <w:tr>
        <w:trPr>
          <w:cantSplit/>
        </w:trPr>
        <w:tc>
          <w:tcPr>
            <w:tcW w:type="dxa" w:w="3168"/>
            <w:shd w:fill="F8FAFC"/>
            <w:tcMar>
              <w:top w:w="35" w:type="dxa"/>
              <w:bottom w:w="35" w:type="dxa"/>
              <w:left w:w="80" w:type="dxa"/>
              <w:right w:w="80" w:type="dxa"/>
            </w:tcMar>
          </w:tcPr>
          <w:p>
            <w:pPr>
              <w:spacing w:after="0"/>
              <w:jc w:val="left"/>
            </w:pPr>
            <w:r>
              <w:rPr>
                <w:rFonts w:ascii="Calibri" w:hAnsi="Calibri"/>
                <w:color w:val="1F2937"/>
                <w:sz w:val="17"/>
              </w:rPr>
              <w:t>Retention Anchors</w:t>
            </w:r>
          </w:p>
        </w:tc>
        <w:tc>
          <w:tcPr>
            <w:tcW w:type="dxa" w:w="6912"/>
            <w:shd w:fill="F8FAFC"/>
            <w:tcMar>
              <w:top w:w="35" w:type="dxa"/>
              <w:bottom w:w="35" w:type="dxa"/>
              <w:left w:w="80" w:type="dxa"/>
              <w:right w:w="80" w:type="dxa"/>
            </w:tcMar>
          </w:tcPr>
          <w:p>
            <w:pPr>
              <w:spacing w:after="0"/>
              <w:jc w:val="left"/>
            </w:pPr>
            <w:r>
              <w:rPr>
                <w:rFonts w:ascii="Calibri" w:hAnsi="Calibri"/>
                <w:color w:val="1F2937"/>
                <w:sz w:val="17"/>
              </w:rPr>
              <w:t>Highlights positive protective factors (e.g. Long Tenure, Two-Year Contract).</w:t>
            </w:r>
          </w:p>
        </w:tc>
      </w:tr>
    </w:tbl>
    <w:p>
      <w:r>
        <w:br w:type="page"/>
      </w:r>
    </w:p>
    <w:p>
      <w:pPr>
        <w:pStyle w:val="Heading1"/>
        <w:keepNext/>
        <w:spacing w:before="0" w:after="60"/>
      </w:pPr>
      <w:r>
        <w:rPr>
          <w:rFonts w:ascii="Calibri" w:hAnsi="Calibri"/>
          <w:b/>
          <w:color w:val="1E3A8A"/>
          <w:sz w:val="28"/>
        </w:rPr>
        <w:t>8. User Interface: 8.3 What-If Retention Strategy Simulator</w:t>
      </w:r>
    </w:p>
    <w:p>
      <w:pPr>
        <w:keepNext w:val="0"/>
        <w:spacing w:before="0" w:after="80" w:line="269" w:lineRule="auto"/>
      </w:pPr>
      <w:r>
        <w:rPr>
          <w:rFonts w:ascii="Calibri" w:hAnsi="Calibri"/>
          <w:color w:val="374151"/>
          <w:sz w:val="20"/>
        </w:rPr>
        <w:t>The What-If Simulator allows retention specialists to simulate intervention strategies prior to pitching them to customers. Agents can adjust contract types, add security add-ons, or apply monthly discounts to observe real-time risk reduction percentages.</w:t>
      </w:r>
    </w:p>
    <w:p>
      <w:r>
        <w:drawing>
          <wp:inline xmlns:a="http://schemas.openxmlformats.org/drawingml/2006/main" xmlns:pic="http://schemas.openxmlformats.org/drawingml/2006/picture">
            <wp:extent cx="5669280" cy="3720465"/>
            <wp:docPr id="4" name="Picture 4"/>
            <wp:cNvGraphicFramePr>
              <a:graphicFrameLocks noChangeAspect="1"/>
            </wp:cNvGraphicFramePr>
            <a:graphic>
              <a:graphicData uri="http://schemas.openxmlformats.org/drawingml/2006/picture">
                <pic:pic>
                  <pic:nvPicPr>
                    <pic:cNvPr id="0" name="02_what_if_sandbox.png"/>
                    <pic:cNvPicPr/>
                  </pic:nvPicPr>
                  <pic:blipFill>
                    <a:blip r:embed="rId14"/>
                    <a:stretch>
                      <a:fillRect/>
                    </a:stretch>
                  </pic:blipFill>
                  <pic:spPr>
                    <a:xfrm>
                      <a:off x="0" y="0"/>
                      <a:ext cx="5669280" cy="3720465"/>
                    </a:xfrm>
                    <a:prstGeom prst="rect"/>
                  </pic:spPr>
                </pic:pic>
              </a:graphicData>
            </a:graphic>
          </wp:inline>
        </w:drawing>
      </w:r>
    </w:p>
    <w:p>
      <w:pPr>
        <w:spacing w:before="40" w:after="80"/>
        <w:jc w:val="center"/>
      </w:pPr>
      <w:r>
        <w:rPr>
          <w:rFonts w:ascii="Calibri" w:hAnsi="Calibri"/>
          <w:i/>
          <w:color w:val="6B7280"/>
          <w:sz w:val="17"/>
        </w:rPr>
        <w:t>Figure 4: What-If Retention Strategy Simulator &amp; Interactive Sandbox</w:t>
      </w:r>
    </w:p>
    <w:tbl>
      <w:tblPr>
        <w:tblW w:type="auto" w:w="0"/>
        <w:jc w:val="center"/>
        <w:tblLook w:firstColumn="1" w:firstRow="1" w:lastColumn="0" w:lastRow="0" w:noHBand="0" w:noVBand="1" w:val="04A0"/>
      </w:tblPr>
      <w:tblGrid>
        <w:gridCol w:w="5040"/>
        <w:gridCol w:w="5040"/>
      </w:tblGrid>
      <w:tr>
        <w:trPr>
          <w:tblHeader/>
          <w:cantSplit/>
        </w:trPr>
        <w:tc>
          <w:tcPr>
            <w:tcW w:type="dxa" w:w="3168"/>
            <w:shd w:fill="1E3A8A"/>
            <w:tcMar>
              <w:top w:w="80" w:type="dxa"/>
              <w:bottom w:w="80" w:type="dxa"/>
              <w:left w:w="80" w:type="dxa"/>
              <w:right w:w="80" w:type="dxa"/>
            </w:tcMar>
          </w:tcPr>
          <w:p>
            <w:pPr>
              <w:spacing w:after="0"/>
              <w:jc w:val="center"/>
            </w:pPr>
            <w:r>
              <w:rPr>
                <w:rFonts w:ascii="Calibri" w:hAnsi="Calibri"/>
                <w:b/>
                <w:color w:val="FFFFFF"/>
                <w:sz w:val="18"/>
              </w:rPr>
              <w:t>Key Feature / UI Component</w:t>
            </w:r>
          </w:p>
        </w:tc>
        <w:tc>
          <w:tcPr>
            <w:tcW w:type="dxa" w:w="6912"/>
            <w:shd w:fill="1E3A8A"/>
            <w:tcMar>
              <w:top w:w="80" w:type="dxa"/>
              <w:bottom w:w="80" w:type="dxa"/>
              <w:left w:w="80" w:type="dxa"/>
              <w:right w:w="80" w:type="dxa"/>
            </w:tcMar>
          </w:tcPr>
          <w:p>
            <w:pPr>
              <w:spacing w:after="0"/>
              <w:jc w:val="center"/>
            </w:pPr>
            <w:r>
              <w:rPr>
                <w:rFonts w:ascii="Calibri" w:hAnsi="Calibri"/>
                <w:b/>
                <w:color w:val="FFFFFF"/>
                <w:sz w:val="18"/>
              </w:rPr>
              <w:t>Operational Purpose &amp; Business Value</w:t>
            </w:r>
          </w:p>
        </w:tc>
      </w:tr>
      <w:tr>
        <w:trPr>
          <w:cantSplit/>
        </w:trPr>
        <w:tc>
          <w:tcPr>
            <w:tcW w:type="dxa" w:w="3168"/>
            <w:shd w:fill="FFFFFF"/>
            <w:tcMar>
              <w:top w:w="35" w:type="dxa"/>
              <w:bottom w:w="35" w:type="dxa"/>
              <w:left w:w="80" w:type="dxa"/>
              <w:right w:w="80" w:type="dxa"/>
            </w:tcMar>
          </w:tcPr>
          <w:p>
            <w:pPr>
              <w:spacing w:after="0"/>
              <w:jc w:val="left"/>
            </w:pPr>
            <w:r>
              <w:rPr>
                <w:rFonts w:ascii="Calibri" w:hAnsi="Calibri"/>
                <w:color w:val="1F2937"/>
                <w:sz w:val="17"/>
              </w:rPr>
              <w:t>Dynamic Contract Toggle</w:t>
            </w:r>
          </w:p>
        </w:tc>
        <w:tc>
          <w:tcPr>
            <w:tcW w:type="dxa" w:w="6912"/>
            <w:shd w:fill="FFFFFF"/>
            <w:tcMar>
              <w:top w:w="35" w:type="dxa"/>
              <w:bottom w:w="35" w:type="dxa"/>
              <w:left w:w="80" w:type="dxa"/>
              <w:right w:w="80" w:type="dxa"/>
            </w:tcMar>
          </w:tcPr>
          <w:p>
            <w:pPr>
              <w:spacing w:after="0"/>
              <w:jc w:val="left"/>
            </w:pPr>
            <w:r>
              <w:rPr>
                <w:rFonts w:ascii="Calibri" w:hAnsi="Calibri"/>
                <w:color w:val="1F2937"/>
                <w:sz w:val="17"/>
              </w:rPr>
              <w:t>Simulates transitioning a month-to-month subscriber to a 1-year or 2-year agreement.</w:t>
            </w:r>
          </w:p>
        </w:tc>
      </w:tr>
      <w:tr>
        <w:trPr>
          <w:cantSplit/>
        </w:trPr>
        <w:tc>
          <w:tcPr>
            <w:tcW w:type="dxa" w:w="3168"/>
            <w:shd w:fill="F8FAFC"/>
            <w:tcMar>
              <w:top w:w="35" w:type="dxa"/>
              <w:bottom w:w="35" w:type="dxa"/>
              <w:left w:w="80" w:type="dxa"/>
              <w:right w:w="80" w:type="dxa"/>
            </w:tcMar>
          </w:tcPr>
          <w:p>
            <w:pPr>
              <w:spacing w:after="0"/>
              <w:jc w:val="left"/>
            </w:pPr>
            <w:r>
              <w:rPr>
                <w:rFonts w:ascii="Calibri" w:hAnsi="Calibri"/>
                <w:color w:val="1F2937"/>
                <w:sz w:val="17"/>
              </w:rPr>
              <w:t>Service Bundle Adjustments</w:t>
            </w:r>
          </w:p>
        </w:tc>
        <w:tc>
          <w:tcPr>
            <w:tcW w:type="dxa" w:w="6912"/>
            <w:shd w:fill="F8FAFC"/>
            <w:tcMar>
              <w:top w:w="35" w:type="dxa"/>
              <w:bottom w:w="35" w:type="dxa"/>
              <w:left w:w="80" w:type="dxa"/>
              <w:right w:w="80" w:type="dxa"/>
            </w:tcMar>
          </w:tcPr>
          <w:p>
            <w:pPr>
              <w:spacing w:after="0"/>
              <w:jc w:val="left"/>
            </w:pPr>
            <w:r>
              <w:rPr>
                <w:rFonts w:ascii="Calibri" w:hAnsi="Calibri"/>
                <w:color w:val="1F2937"/>
                <w:sz w:val="17"/>
              </w:rPr>
              <w:t>Tests the impact of adding complimentary Tech Support or Online Security packages.</w:t>
            </w:r>
          </w:p>
        </w:tc>
      </w:tr>
      <w:tr>
        <w:trPr>
          <w:cantSplit/>
        </w:trPr>
        <w:tc>
          <w:tcPr>
            <w:tcW w:type="dxa" w:w="3168"/>
            <w:shd w:fill="FFFFFF"/>
            <w:tcMar>
              <w:top w:w="35" w:type="dxa"/>
              <w:bottom w:w="35" w:type="dxa"/>
              <w:left w:w="80" w:type="dxa"/>
              <w:right w:w="80" w:type="dxa"/>
            </w:tcMar>
          </w:tcPr>
          <w:p>
            <w:pPr>
              <w:spacing w:after="0"/>
              <w:jc w:val="left"/>
            </w:pPr>
            <w:r>
              <w:rPr>
                <w:rFonts w:ascii="Calibri" w:hAnsi="Calibri"/>
                <w:color w:val="1F2937"/>
                <w:sz w:val="17"/>
              </w:rPr>
              <w:t>Live Risk Recalculation</w:t>
            </w:r>
          </w:p>
        </w:tc>
        <w:tc>
          <w:tcPr>
            <w:tcW w:type="dxa" w:w="6912"/>
            <w:shd w:fill="FFFFFF"/>
            <w:tcMar>
              <w:top w:w="35" w:type="dxa"/>
              <w:bottom w:w="35" w:type="dxa"/>
              <w:left w:w="80" w:type="dxa"/>
              <w:right w:w="80" w:type="dxa"/>
            </w:tcMar>
          </w:tcPr>
          <w:p>
            <w:pPr>
              <w:spacing w:after="0"/>
              <w:jc w:val="left"/>
            </w:pPr>
            <w:r>
              <w:rPr>
                <w:rFonts w:ascii="Calibri" w:hAnsi="Calibri"/>
                <w:color w:val="1F2937"/>
                <w:sz w:val="17"/>
              </w:rPr>
              <w:t>Computes instant risk drop (e.g. 74.2% -&gt; 22.8%) with color-coded improvement badges.</w:t>
            </w:r>
          </w:p>
        </w:tc>
      </w:tr>
      <w:tr>
        <w:trPr>
          <w:cantSplit/>
        </w:trPr>
        <w:tc>
          <w:tcPr>
            <w:tcW w:type="dxa" w:w="3168"/>
            <w:shd w:fill="F8FAFC"/>
            <w:tcMar>
              <w:top w:w="35" w:type="dxa"/>
              <w:bottom w:w="35" w:type="dxa"/>
              <w:left w:w="80" w:type="dxa"/>
              <w:right w:w="80" w:type="dxa"/>
            </w:tcMar>
          </w:tcPr>
          <w:p>
            <w:pPr>
              <w:spacing w:after="0"/>
              <w:jc w:val="left"/>
            </w:pPr>
            <w:r>
              <w:rPr>
                <w:rFonts w:ascii="Calibri" w:hAnsi="Calibri"/>
                <w:color w:val="1F2937"/>
                <w:sz w:val="17"/>
              </w:rPr>
              <w:t>Margin Protection Safeguards</w:t>
            </w:r>
          </w:p>
        </w:tc>
        <w:tc>
          <w:tcPr>
            <w:tcW w:type="dxa" w:w="6912"/>
            <w:shd w:fill="F8FAFC"/>
            <w:tcMar>
              <w:top w:w="35" w:type="dxa"/>
              <w:bottom w:w="35" w:type="dxa"/>
              <w:left w:w="80" w:type="dxa"/>
              <w:right w:w="80" w:type="dxa"/>
            </w:tcMar>
          </w:tcPr>
          <w:p>
            <w:pPr>
              <w:spacing w:after="0"/>
              <w:jc w:val="left"/>
            </w:pPr>
            <w:r>
              <w:rPr>
                <w:rFonts w:ascii="Calibri" w:hAnsi="Calibri"/>
                <w:color w:val="1F2937"/>
                <w:sz w:val="17"/>
              </w:rPr>
              <w:t>Ensures proposed discounts remain within acceptable corporate financial boundaries.</w:t>
            </w:r>
          </w:p>
        </w:tc>
      </w:tr>
    </w:tbl>
    <w:p>
      <w:r>
        <w:br w:type="page"/>
      </w:r>
    </w:p>
    <w:p>
      <w:pPr>
        <w:pStyle w:val="Heading1"/>
        <w:keepNext/>
        <w:spacing w:before="0" w:after="60"/>
      </w:pPr>
      <w:r>
        <w:rPr>
          <w:rFonts w:ascii="Calibri" w:hAnsi="Calibri"/>
          <w:b/>
          <w:color w:val="1E3A8A"/>
          <w:sz w:val="28"/>
        </w:rPr>
        <w:t>8. User Interface: 8.4 Batch Cohort Scoring &amp; Prioritized Action Queue</w:t>
      </w:r>
    </w:p>
    <w:p>
      <w:pPr>
        <w:keepNext w:val="0"/>
        <w:spacing w:before="0" w:after="80" w:line="269" w:lineRule="auto"/>
      </w:pPr>
      <w:r>
        <w:rPr>
          <w:rFonts w:ascii="Calibri" w:hAnsi="Calibri"/>
          <w:color w:val="374151"/>
          <w:sz w:val="20"/>
        </w:rPr>
        <w:t>The Batch Scoring module processes entire subscriber rosters (.csv) simultaneously. It calculates churn probabilities across thousands of records, ranks accounts by expected financial loss, and generates downloadable campaign outreach lists.</w:t>
      </w:r>
    </w:p>
    <w:p>
      <w:r>
        <w:drawing>
          <wp:inline xmlns:a="http://schemas.openxmlformats.org/drawingml/2006/main" xmlns:pic="http://schemas.openxmlformats.org/drawingml/2006/picture">
            <wp:extent cx="5669280" cy="3720465"/>
            <wp:docPr id="5" name="Picture 5"/>
            <wp:cNvGraphicFramePr>
              <a:graphicFrameLocks noChangeAspect="1"/>
            </wp:cNvGraphicFramePr>
            <a:graphic>
              <a:graphicData uri="http://schemas.openxmlformats.org/drawingml/2006/picture">
                <pic:pic>
                  <pic:nvPicPr>
                    <pic:cNvPr id="0" name="03_batch_scoring_queue.png"/>
                    <pic:cNvPicPr/>
                  </pic:nvPicPr>
                  <pic:blipFill>
                    <a:blip r:embed="rId15"/>
                    <a:stretch>
                      <a:fillRect/>
                    </a:stretch>
                  </pic:blipFill>
                  <pic:spPr>
                    <a:xfrm>
                      <a:off x="0" y="0"/>
                      <a:ext cx="5669280" cy="3720465"/>
                    </a:xfrm>
                    <a:prstGeom prst="rect"/>
                  </pic:spPr>
                </pic:pic>
              </a:graphicData>
            </a:graphic>
          </wp:inline>
        </w:drawing>
      </w:r>
    </w:p>
    <w:p>
      <w:pPr>
        <w:spacing w:before="40" w:after="80"/>
        <w:jc w:val="center"/>
      </w:pPr>
      <w:r>
        <w:rPr>
          <w:rFonts w:ascii="Calibri" w:hAnsi="Calibri"/>
          <w:i/>
          <w:color w:val="6B7280"/>
          <w:sz w:val="17"/>
        </w:rPr>
        <w:t>Figure 5: Batch Cohort Scoring &amp; Prioritized Action Queue</w:t>
      </w:r>
    </w:p>
    <w:tbl>
      <w:tblPr>
        <w:tblW w:type="auto" w:w="0"/>
        <w:jc w:val="center"/>
        <w:tblLook w:firstColumn="1" w:firstRow="1" w:lastColumn="0" w:lastRow="0" w:noHBand="0" w:noVBand="1" w:val="04A0"/>
      </w:tblPr>
      <w:tblGrid>
        <w:gridCol w:w="5040"/>
        <w:gridCol w:w="5040"/>
      </w:tblGrid>
      <w:tr>
        <w:trPr>
          <w:tblHeader/>
          <w:cantSplit/>
        </w:trPr>
        <w:tc>
          <w:tcPr>
            <w:tcW w:type="dxa" w:w="3168"/>
            <w:shd w:fill="1E3A8A"/>
            <w:tcMar>
              <w:top w:w="80" w:type="dxa"/>
              <w:bottom w:w="80" w:type="dxa"/>
              <w:left w:w="80" w:type="dxa"/>
              <w:right w:w="80" w:type="dxa"/>
            </w:tcMar>
          </w:tcPr>
          <w:p>
            <w:pPr>
              <w:spacing w:after="0"/>
              <w:jc w:val="center"/>
            </w:pPr>
            <w:r>
              <w:rPr>
                <w:rFonts w:ascii="Calibri" w:hAnsi="Calibri"/>
                <w:b/>
                <w:color w:val="FFFFFF"/>
                <w:sz w:val="18"/>
              </w:rPr>
              <w:t>Key Feature / UI Component</w:t>
            </w:r>
          </w:p>
        </w:tc>
        <w:tc>
          <w:tcPr>
            <w:tcW w:type="dxa" w:w="6912"/>
            <w:shd w:fill="1E3A8A"/>
            <w:tcMar>
              <w:top w:w="80" w:type="dxa"/>
              <w:bottom w:w="80" w:type="dxa"/>
              <w:left w:w="80" w:type="dxa"/>
              <w:right w:w="80" w:type="dxa"/>
            </w:tcMar>
          </w:tcPr>
          <w:p>
            <w:pPr>
              <w:spacing w:after="0"/>
              <w:jc w:val="center"/>
            </w:pPr>
            <w:r>
              <w:rPr>
                <w:rFonts w:ascii="Calibri" w:hAnsi="Calibri"/>
                <w:b/>
                <w:color w:val="FFFFFF"/>
                <w:sz w:val="18"/>
              </w:rPr>
              <w:t>Operational Purpose &amp; Business Value</w:t>
            </w:r>
          </w:p>
        </w:tc>
      </w:tr>
      <w:tr>
        <w:trPr>
          <w:cantSplit/>
        </w:trPr>
        <w:tc>
          <w:tcPr>
            <w:tcW w:type="dxa" w:w="3168"/>
            <w:shd w:fill="FFFFFF"/>
            <w:tcMar>
              <w:top w:w="35" w:type="dxa"/>
              <w:bottom w:w="35" w:type="dxa"/>
              <w:left w:w="80" w:type="dxa"/>
              <w:right w:w="80" w:type="dxa"/>
            </w:tcMar>
          </w:tcPr>
          <w:p>
            <w:pPr>
              <w:spacing w:after="0"/>
              <w:jc w:val="left"/>
            </w:pPr>
            <w:r>
              <w:rPr>
                <w:rFonts w:ascii="Calibri" w:hAnsi="Calibri"/>
                <w:color w:val="1F2937"/>
                <w:sz w:val="17"/>
              </w:rPr>
              <w:t>CSV File Uploader</w:t>
            </w:r>
          </w:p>
        </w:tc>
        <w:tc>
          <w:tcPr>
            <w:tcW w:type="dxa" w:w="6912"/>
            <w:shd w:fill="FFFFFF"/>
            <w:tcMar>
              <w:top w:w="35" w:type="dxa"/>
              <w:bottom w:w="35" w:type="dxa"/>
              <w:left w:w="80" w:type="dxa"/>
              <w:right w:w="80" w:type="dxa"/>
            </w:tcMar>
          </w:tcPr>
          <w:p>
            <w:pPr>
              <w:spacing w:after="0"/>
              <w:jc w:val="left"/>
            </w:pPr>
            <w:r>
              <w:rPr>
                <w:rFonts w:ascii="Calibri" w:hAnsi="Calibri"/>
                <w:color w:val="1F2937"/>
                <w:sz w:val="17"/>
              </w:rPr>
              <w:t>Accepts standard enterprise telecom billing datasets with automatic column validation.</w:t>
            </w:r>
          </w:p>
        </w:tc>
      </w:tr>
      <w:tr>
        <w:trPr>
          <w:cantSplit/>
        </w:trPr>
        <w:tc>
          <w:tcPr>
            <w:tcW w:type="dxa" w:w="3168"/>
            <w:shd w:fill="F8FAFC"/>
            <w:tcMar>
              <w:top w:w="35" w:type="dxa"/>
              <w:bottom w:w="35" w:type="dxa"/>
              <w:left w:w="80" w:type="dxa"/>
              <w:right w:w="80" w:type="dxa"/>
            </w:tcMar>
          </w:tcPr>
          <w:p>
            <w:pPr>
              <w:spacing w:after="0"/>
              <w:jc w:val="left"/>
            </w:pPr>
            <w:r>
              <w:rPr>
                <w:rFonts w:ascii="Calibri" w:hAnsi="Calibri"/>
                <w:color w:val="1F2937"/>
                <w:sz w:val="17"/>
              </w:rPr>
              <w:t>Cohort Risk Distribution</w:t>
            </w:r>
          </w:p>
        </w:tc>
        <w:tc>
          <w:tcPr>
            <w:tcW w:type="dxa" w:w="6912"/>
            <w:shd w:fill="F8FAFC"/>
            <w:tcMar>
              <w:top w:w="35" w:type="dxa"/>
              <w:bottom w:w="35" w:type="dxa"/>
              <w:left w:w="80" w:type="dxa"/>
              <w:right w:w="80" w:type="dxa"/>
            </w:tcMar>
          </w:tcPr>
          <w:p>
            <w:pPr>
              <w:spacing w:after="0"/>
              <w:jc w:val="left"/>
            </w:pPr>
            <w:r>
              <w:rPr>
                <w:rFonts w:ascii="Calibri" w:hAnsi="Calibri"/>
                <w:color w:val="1F2937"/>
                <w:sz w:val="17"/>
              </w:rPr>
              <w:t>Visualizes proportions of Safe, Moderate, and Critical accounts across the cohort.</w:t>
            </w:r>
          </w:p>
        </w:tc>
      </w:tr>
      <w:tr>
        <w:trPr>
          <w:cantSplit/>
        </w:trPr>
        <w:tc>
          <w:tcPr>
            <w:tcW w:type="dxa" w:w="3168"/>
            <w:shd w:fill="FFFFFF"/>
            <w:tcMar>
              <w:top w:w="35" w:type="dxa"/>
              <w:bottom w:w="35" w:type="dxa"/>
              <w:left w:w="80" w:type="dxa"/>
              <w:right w:w="80" w:type="dxa"/>
            </w:tcMar>
          </w:tcPr>
          <w:p>
            <w:pPr>
              <w:spacing w:after="0"/>
              <w:jc w:val="left"/>
            </w:pPr>
            <w:r>
              <w:rPr>
                <w:rFonts w:ascii="Calibri" w:hAnsi="Calibri"/>
                <w:color w:val="1F2937"/>
                <w:sz w:val="17"/>
              </w:rPr>
              <w:t>Prioritized Action Queue</w:t>
            </w:r>
          </w:p>
        </w:tc>
        <w:tc>
          <w:tcPr>
            <w:tcW w:type="dxa" w:w="6912"/>
            <w:shd w:fill="FFFFFF"/>
            <w:tcMar>
              <w:top w:w="35" w:type="dxa"/>
              <w:bottom w:w="35" w:type="dxa"/>
              <w:left w:w="80" w:type="dxa"/>
              <w:right w:w="80" w:type="dxa"/>
            </w:tcMar>
          </w:tcPr>
          <w:p>
            <w:pPr>
              <w:spacing w:after="0"/>
              <w:jc w:val="left"/>
            </w:pPr>
            <w:r>
              <w:rPr>
                <w:rFonts w:ascii="Calibri" w:hAnsi="Calibri"/>
                <w:color w:val="1F2937"/>
                <w:sz w:val="17"/>
              </w:rPr>
              <w:t>Ranks at-risk subscribers by annual revenue exposure to prioritize high-value accounts.</w:t>
            </w:r>
          </w:p>
        </w:tc>
      </w:tr>
      <w:tr>
        <w:trPr>
          <w:cantSplit/>
        </w:trPr>
        <w:tc>
          <w:tcPr>
            <w:tcW w:type="dxa" w:w="3168"/>
            <w:shd w:fill="F8FAFC"/>
            <w:tcMar>
              <w:top w:w="35" w:type="dxa"/>
              <w:bottom w:w="35" w:type="dxa"/>
              <w:left w:w="80" w:type="dxa"/>
              <w:right w:w="80" w:type="dxa"/>
            </w:tcMar>
          </w:tcPr>
          <w:p>
            <w:pPr>
              <w:spacing w:after="0"/>
              <w:jc w:val="left"/>
            </w:pPr>
            <w:r>
              <w:rPr>
                <w:rFonts w:ascii="Calibri" w:hAnsi="Calibri"/>
                <w:color w:val="1F2937"/>
                <w:sz w:val="17"/>
              </w:rPr>
              <w:t>Exportable Campaign Lists</w:t>
            </w:r>
          </w:p>
        </w:tc>
        <w:tc>
          <w:tcPr>
            <w:tcW w:type="dxa" w:w="6912"/>
            <w:shd w:fill="F8FAFC"/>
            <w:tcMar>
              <w:top w:w="35" w:type="dxa"/>
              <w:bottom w:w="35" w:type="dxa"/>
              <w:left w:w="80" w:type="dxa"/>
              <w:right w:w="80" w:type="dxa"/>
            </w:tcMar>
          </w:tcPr>
          <w:p>
            <w:pPr>
              <w:spacing w:after="0"/>
              <w:jc w:val="left"/>
            </w:pPr>
            <w:r>
              <w:rPr>
                <w:rFonts w:ascii="Calibri" w:hAnsi="Calibri"/>
                <w:color w:val="1F2937"/>
                <w:sz w:val="17"/>
              </w:rPr>
              <w:t>Allows 1-click CSV export filtered by risk tier for marketing automation.</w:t>
            </w:r>
          </w:p>
        </w:tc>
      </w:tr>
    </w:tbl>
    <w:p>
      <w:r>
        <w:br w:type="page"/>
      </w:r>
    </w:p>
    <w:p>
      <w:pPr>
        <w:pStyle w:val="Heading1"/>
        <w:keepNext/>
        <w:spacing w:before="0" w:after="60"/>
      </w:pPr>
      <w:r>
        <w:rPr>
          <w:rFonts w:ascii="Calibri" w:hAnsi="Calibri"/>
          <w:b/>
          <w:color w:val="1E3A8A"/>
          <w:sz w:val="28"/>
        </w:rPr>
        <w:t>8. User Interface: 8.5 Executive Cohort Analytics &amp; Macro EDA Dashboard</w:t>
      </w:r>
    </w:p>
    <w:p>
      <w:pPr>
        <w:keepNext w:val="0"/>
        <w:spacing w:before="0" w:after="80" w:line="269" w:lineRule="auto"/>
      </w:pPr>
      <w:r>
        <w:rPr>
          <w:rFonts w:ascii="Calibri" w:hAnsi="Calibri"/>
          <w:color w:val="374151"/>
          <w:sz w:val="20"/>
        </w:rPr>
        <w:t>The Executive Cohort Analytics dashboard provides strategic macro-level insights across the entire subscriber base. It breaks down churn patterns across contract structures, internet service technologies, payment methods, and billing ranges.</w:t>
      </w:r>
    </w:p>
    <w:p>
      <w:r>
        <w:drawing>
          <wp:inline xmlns:a="http://schemas.openxmlformats.org/drawingml/2006/main" xmlns:pic="http://schemas.openxmlformats.org/drawingml/2006/picture">
            <wp:extent cx="5669280" cy="3720465"/>
            <wp:docPr id="6" name="Picture 6"/>
            <wp:cNvGraphicFramePr>
              <a:graphicFrameLocks noChangeAspect="1"/>
            </wp:cNvGraphicFramePr>
            <a:graphic>
              <a:graphicData uri="http://schemas.openxmlformats.org/drawingml/2006/picture">
                <pic:pic>
                  <pic:nvPicPr>
                    <pic:cNvPr id="0" name="04_executive_cohort_insights.png"/>
                    <pic:cNvPicPr/>
                  </pic:nvPicPr>
                  <pic:blipFill>
                    <a:blip r:embed="rId16"/>
                    <a:stretch>
                      <a:fillRect/>
                    </a:stretch>
                  </pic:blipFill>
                  <pic:spPr>
                    <a:xfrm>
                      <a:off x="0" y="0"/>
                      <a:ext cx="5669280" cy="3720465"/>
                    </a:xfrm>
                    <a:prstGeom prst="rect"/>
                  </pic:spPr>
                </pic:pic>
              </a:graphicData>
            </a:graphic>
          </wp:inline>
        </w:drawing>
      </w:r>
    </w:p>
    <w:p>
      <w:pPr>
        <w:spacing w:before="40" w:after="80"/>
        <w:jc w:val="center"/>
      </w:pPr>
      <w:r>
        <w:rPr>
          <w:rFonts w:ascii="Calibri" w:hAnsi="Calibri"/>
          <w:i/>
          <w:color w:val="6B7280"/>
          <w:sz w:val="17"/>
        </w:rPr>
        <w:t>Figure 6: Executive Cohort Analytics &amp; Macro EDA Dashboard</w:t>
      </w:r>
    </w:p>
    <w:tbl>
      <w:tblPr>
        <w:tblW w:type="auto" w:w="0"/>
        <w:jc w:val="center"/>
        <w:tblLook w:firstColumn="1" w:firstRow="1" w:lastColumn="0" w:lastRow="0" w:noHBand="0" w:noVBand="1" w:val="04A0"/>
      </w:tblPr>
      <w:tblGrid>
        <w:gridCol w:w="5040"/>
        <w:gridCol w:w="5040"/>
      </w:tblGrid>
      <w:tr>
        <w:trPr>
          <w:tblHeader/>
          <w:cantSplit/>
        </w:trPr>
        <w:tc>
          <w:tcPr>
            <w:tcW w:type="dxa" w:w="3168"/>
            <w:shd w:fill="1E3A8A"/>
            <w:tcMar>
              <w:top w:w="80" w:type="dxa"/>
              <w:bottom w:w="80" w:type="dxa"/>
              <w:left w:w="80" w:type="dxa"/>
              <w:right w:w="80" w:type="dxa"/>
            </w:tcMar>
          </w:tcPr>
          <w:p>
            <w:pPr>
              <w:spacing w:after="0"/>
              <w:jc w:val="center"/>
            </w:pPr>
            <w:r>
              <w:rPr>
                <w:rFonts w:ascii="Calibri" w:hAnsi="Calibri"/>
                <w:b/>
                <w:color w:val="FFFFFF"/>
                <w:sz w:val="18"/>
              </w:rPr>
              <w:t>Key Feature / UI Component</w:t>
            </w:r>
          </w:p>
        </w:tc>
        <w:tc>
          <w:tcPr>
            <w:tcW w:type="dxa" w:w="6912"/>
            <w:shd w:fill="1E3A8A"/>
            <w:tcMar>
              <w:top w:w="80" w:type="dxa"/>
              <w:bottom w:w="80" w:type="dxa"/>
              <w:left w:w="80" w:type="dxa"/>
              <w:right w:w="80" w:type="dxa"/>
            </w:tcMar>
          </w:tcPr>
          <w:p>
            <w:pPr>
              <w:spacing w:after="0"/>
              <w:jc w:val="center"/>
            </w:pPr>
            <w:r>
              <w:rPr>
                <w:rFonts w:ascii="Calibri" w:hAnsi="Calibri"/>
                <w:b/>
                <w:color w:val="FFFFFF"/>
                <w:sz w:val="18"/>
              </w:rPr>
              <w:t>Operational Purpose &amp; Business Value</w:t>
            </w:r>
          </w:p>
        </w:tc>
      </w:tr>
      <w:tr>
        <w:trPr>
          <w:cantSplit/>
        </w:trPr>
        <w:tc>
          <w:tcPr>
            <w:tcW w:type="dxa" w:w="3168"/>
            <w:shd w:fill="FFFFFF"/>
            <w:tcMar>
              <w:top w:w="35" w:type="dxa"/>
              <w:bottom w:w="35" w:type="dxa"/>
              <w:left w:w="80" w:type="dxa"/>
              <w:right w:w="80" w:type="dxa"/>
            </w:tcMar>
          </w:tcPr>
          <w:p>
            <w:pPr>
              <w:spacing w:after="0"/>
              <w:jc w:val="left"/>
            </w:pPr>
            <w:r>
              <w:rPr>
                <w:rFonts w:ascii="Calibri" w:hAnsi="Calibri"/>
                <w:color w:val="1F2937"/>
                <w:sz w:val="17"/>
              </w:rPr>
              <w:t>Contract Churn Distribution</w:t>
            </w:r>
          </w:p>
        </w:tc>
        <w:tc>
          <w:tcPr>
            <w:tcW w:type="dxa" w:w="6912"/>
            <w:shd w:fill="FFFFFF"/>
            <w:tcMar>
              <w:top w:w="35" w:type="dxa"/>
              <w:bottom w:w="35" w:type="dxa"/>
              <w:left w:w="80" w:type="dxa"/>
              <w:right w:w="80" w:type="dxa"/>
            </w:tcMar>
          </w:tcPr>
          <w:p>
            <w:pPr>
              <w:spacing w:after="0"/>
              <w:jc w:val="left"/>
            </w:pPr>
            <w:r>
              <w:rPr>
                <w:rFonts w:ascii="Calibri" w:hAnsi="Calibri"/>
                <w:color w:val="1F2937"/>
                <w:sz w:val="17"/>
              </w:rPr>
              <w:t>Reveals that 42.7% of month-to-month subscribers churn vs. under 3% on two-year plans.</w:t>
            </w:r>
          </w:p>
        </w:tc>
      </w:tr>
      <w:tr>
        <w:trPr>
          <w:cantSplit/>
        </w:trPr>
        <w:tc>
          <w:tcPr>
            <w:tcW w:type="dxa" w:w="3168"/>
            <w:shd w:fill="F8FAFC"/>
            <w:tcMar>
              <w:top w:w="35" w:type="dxa"/>
              <w:bottom w:w="35" w:type="dxa"/>
              <w:left w:w="80" w:type="dxa"/>
              <w:right w:w="80" w:type="dxa"/>
            </w:tcMar>
          </w:tcPr>
          <w:p>
            <w:pPr>
              <w:spacing w:after="0"/>
              <w:jc w:val="left"/>
            </w:pPr>
            <w:r>
              <w:rPr>
                <w:rFonts w:ascii="Calibri" w:hAnsi="Calibri"/>
                <w:color w:val="1F2937"/>
                <w:sz w:val="17"/>
              </w:rPr>
              <w:t>Fiber Optic Churn Anomaly</w:t>
            </w:r>
          </w:p>
        </w:tc>
        <w:tc>
          <w:tcPr>
            <w:tcW w:type="dxa" w:w="6912"/>
            <w:shd w:fill="F8FAFC"/>
            <w:tcMar>
              <w:top w:w="35" w:type="dxa"/>
              <w:bottom w:w="35" w:type="dxa"/>
              <w:left w:w="80" w:type="dxa"/>
              <w:right w:w="80" w:type="dxa"/>
            </w:tcMar>
          </w:tcPr>
          <w:p>
            <w:pPr>
              <w:spacing w:after="0"/>
              <w:jc w:val="left"/>
            </w:pPr>
            <w:r>
              <w:rPr>
                <w:rFonts w:ascii="Calibri" w:hAnsi="Calibri"/>
                <w:color w:val="1F2937"/>
                <w:sz w:val="17"/>
              </w:rPr>
              <w:t>Identifies high churn in fiber optic subscribers driven by billing friction ($70-$100/mo).</w:t>
            </w:r>
          </w:p>
        </w:tc>
      </w:tr>
      <w:tr>
        <w:trPr>
          <w:cantSplit/>
        </w:trPr>
        <w:tc>
          <w:tcPr>
            <w:tcW w:type="dxa" w:w="3168"/>
            <w:shd w:fill="FFFFFF"/>
            <w:tcMar>
              <w:top w:w="35" w:type="dxa"/>
              <w:bottom w:w="35" w:type="dxa"/>
              <w:left w:w="80" w:type="dxa"/>
              <w:right w:w="80" w:type="dxa"/>
            </w:tcMar>
          </w:tcPr>
          <w:p>
            <w:pPr>
              <w:spacing w:after="0"/>
              <w:jc w:val="left"/>
            </w:pPr>
            <w:r>
              <w:rPr>
                <w:rFonts w:ascii="Calibri" w:hAnsi="Calibri"/>
                <w:color w:val="1F2937"/>
                <w:sz w:val="17"/>
              </w:rPr>
              <w:t>Payment Method Insights</w:t>
            </w:r>
          </w:p>
        </w:tc>
        <w:tc>
          <w:tcPr>
            <w:tcW w:type="dxa" w:w="6912"/>
            <w:shd w:fill="FFFFFF"/>
            <w:tcMar>
              <w:top w:w="35" w:type="dxa"/>
              <w:bottom w:w="35" w:type="dxa"/>
              <w:left w:w="80" w:type="dxa"/>
              <w:right w:w="80" w:type="dxa"/>
            </w:tcMar>
          </w:tcPr>
          <w:p>
            <w:pPr>
              <w:spacing w:after="0"/>
              <w:jc w:val="left"/>
            </w:pPr>
            <w:r>
              <w:rPr>
                <w:rFonts w:ascii="Calibri" w:hAnsi="Calibri"/>
                <w:color w:val="1F2937"/>
                <w:sz w:val="17"/>
              </w:rPr>
              <w:t>Shows electronic check users churn at 45.3%, 3x higher than automated credit card users.</w:t>
            </w:r>
          </w:p>
        </w:tc>
      </w:tr>
      <w:tr>
        <w:trPr>
          <w:cantSplit/>
        </w:trPr>
        <w:tc>
          <w:tcPr>
            <w:tcW w:type="dxa" w:w="3168"/>
            <w:shd w:fill="F8FAFC"/>
            <w:tcMar>
              <w:top w:w="35" w:type="dxa"/>
              <w:bottom w:w="35" w:type="dxa"/>
              <w:left w:w="80" w:type="dxa"/>
              <w:right w:w="80" w:type="dxa"/>
            </w:tcMar>
          </w:tcPr>
          <w:p>
            <w:pPr>
              <w:spacing w:after="0"/>
              <w:jc w:val="left"/>
            </w:pPr>
            <w:r>
              <w:rPr>
                <w:rFonts w:ascii="Calibri" w:hAnsi="Calibri"/>
                <w:color w:val="1F2937"/>
                <w:sz w:val="17"/>
              </w:rPr>
              <w:t>Tenure Hazard Curve</w:t>
            </w:r>
          </w:p>
        </w:tc>
        <w:tc>
          <w:tcPr>
            <w:tcW w:type="dxa" w:w="6912"/>
            <w:shd w:fill="F8FAFC"/>
            <w:tcMar>
              <w:top w:w="35" w:type="dxa"/>
              <w:bottom w:w="35" w:type="dxa"/>
              <w:left w:w="80" w:type="dxa"/>
              <w:right w:w="80" w:type="dxa"/>
            </w:tcMar>
          </w:tcPr>
          <w:p>
            <w:pPr>
              <w:spacing w:after="0"/>
              <w:jc w:val="left"/>
            </w:pPr>
            <w:r>
              <w:rPr>
                <w:rFonts w:ascii="Calibri" w:hAnsi="Calibri"/>
                <w:color w:val="1F2937"/>
                <w:sz w:val="17"/>
              </w:rPr>
              <w:t>Demonstrates that subscriber defection risk drops dramatically after 12 months of tenure.</w:t>
            </w:r>
          </w:p>
        </w:tc>
      </w:tr>
    </w:tbl>
    <w:p>
      <w:r>
        <w:br w:type="page"/>
      </w:r>
    </w:p>
    <w:p>
      <w:pPr>
        <w:pStyle w:val="Heading1"/>
        <w:keepNext/>
        <w:spacing w:before="0" w:after="60"/>
      </w:pPr>
      <w:r>
        <w:rPr>
          <w:rFonts w:ascii="Calibri" w:hAnsi="Calibri"/>
          <w:b/>
          <w:color w:val="1E3A8A"/>
          <w:sz w:val="28"/>
        </w:rPr>
        <w:t>8. User Interface: 8.6 Enterprise Database &amp; Customer CRM Explorer</w:t>
      </w:r>
    </w:p>
    <w:p>
      <w:pPr>
        <w:keepNext w:val="0"/>
        <w:spacing w:before="0" w:after="80" w:line="269" w:lineRule="auto"/>
      </w:pPr>
      <w:r>
        <w:rPr>
          <w:rFonts w:ascii="Calibri" w:hAnsi="Calibri"/>
          <w:color w:val="374151"/>
          <w:sz w:val="20"/>
        </w:rPr>
        <w:t>The Enterprise Database &amp; Customer CRM Explorer provides persistent data storage across MySQL (XAMPP Port 3306) and SQLite. It enables retention managers to query diagnostic histories, update outreach campaign lifecycle states, and execute direct SQL queries.</w:t>
      </w:r>
    </w:p>
    <w:p>
      <w:r>
        <w:drawing>
          <wp:inline xmlns:a="http://schemas.openxmlformats.org/drawingml/2006/main" xmlns:pic="http://schemas.openxmlformats.org/drawingml/2006/picture">
            <wp:extent cx="5669280" cy="3526917"/>
            <wp:docPr id="7" name="Picture 7"/>
            <wp:cNvGraphicFramePr>
              <a:graphicFrameLocks noChangeAspect="1"/>
            </wp:cNvGraphicFramePr>
            <a:graphic>
              <a:graphicData uri="http://schemas.openxmlformats.org/drawingml/2006/picture">
                <pic:pic>
                  <pic:nvPicPr>
                    <pic:cNvPr id="0" name="06_database_crm_explorer.png"/>
                    <pic:cNvPicPr/>
                  </pic:nvPicPr>
                  <pic:blipFill>
                    <a:blip r:embed="rId17"/>
                    <a:stretch>
                      <a:fillRect/>
                    </a:stretch>
                  </pic:blipFill>
                  <pic:spPr>
                    <a:xfrm>
                      <a:off x="0" y="0"/>
                      <a:ext cx="5669280" cy="3526917"/>
                    </a:xfrm>
                    <a:prstGeom prst="rect"/>
                  </pic:spPr>
                </pic:pic>
              </a:graphicData>
            </a:graphic>
          </wp:inline>
        </w:drawing>
      </w:r>
    </w:p>
    <w:p>
      <w:pPr>
        <w:spacing w:before="40" w:after="80"/>
        <w:jc w:val="center"/>
      </w:pPr>
      <w:r>
        <w:rPr>
          <w:rFonts w:ascii="Calibri" w:hAnsi="Calibri"/>
          <w:i/>
          <w:color w:val="6B7280"/>
          <w:sz w:val="17"/>
        </w:rPr>
        <w:t>Figure 7: Enterprise Database &amp; Customer CRM Explorer with Live SQL Sandbox</w:t>
      </w:r>
    </w:p>
    <w:tbl>
      <w:tblPr>
        <w:tblW w:type="auto" w:w="0"/>
        <w:jc w:val="center"/>
        <w:tblLook w:firstColumn="1" w:firstRow="1" w:lastColumn="0" w:lastRow="0" w:noHBand="0" w:noVBand="1" w:val="04A0"/>
      </w:tblPr>
      <w:tblGrid>
        <w:gridCol w:w="5040"/>
        <w:gridCol w:w="5040"/>
      </w:tblGrid>
      <w:tr>
        <w:trPr>
          <w:tblHeader/>
          <w:cantSplit/>
        </w:trPr>
        <w:tc>
          <w:tcPr>
            <w:tcW w:type="dxa" w:w="3168"/>
            <w:shd w:fill="1E3A8A"/>
            <w:tcMar>
              <w:top w:w="80" w:type="dxa"/>
              <w:bottom w:w="80" w:type="dxa"/>
              <w:left w:w="80" w:type="dxa"/>
              <w:right w:w="80" w:type="dxa"/>
            </w:tcMar>
          </w:tcPr>
          <w:p>
            <w:pPr>
              <w:spacing w:after="0"/>
              <w:jc w:val="center"/>
            </w:pPr>
            <w:r>
              <w:rPr>
                <w:rFonts w:ascii="Calibri" w:hAnsi="Calibri"/>
                <w:b/>
                <w:color w:val="FFFFFF"/>
                <w:sz w:val="18"/>
              </w:rPr>
              <w:t>Key Feature / UI Component</w:t>
            </w:r>
          </w:p>
        </w:tc>
        <w:tc>
          <w:tcPr>
            <w:tcW w:type="dxa" w:w="6912"/>
            <w:shd w:fill="1E3A8A"/>
            <w:tcMar>
              <w:top w:w="80" w:type="dxa"/>
              <w:bottom w:w="80" w:type="dxa"/>
              <w:left w:w="80" w:type="dxa"/>
              <w:right w:w="80" w:type="dxa"/>
            </w:tcMar>
          </w:tcPr>
          <w:p>
            <w:pPr>
              <w:spacing w:after="0"/>
              <w:jc w:val="center"/>
            </w:pPr>
            <w:r>
              <w:rPr>
                <w:rFonts w:ascii="Calibri" w:hAnsi="Calibri"/>
                <w:b/>
                <w:color w:val="FFFFFF"/>
                <w:sz w:val="18"/>
              </w:rPr>
              <w:t>Operational Purpose &amp; Business Value</w:t>
            </w:r>
          </w:p>
        </w:tc>
      </w:tr>
      <w:tr>
        <w:trPr>
          <w:cantSplit/>
        </w:trPr>
        <w:tc>
          <w:tcPr>
            <w:tcW w:type="dxa" w:w="3168"/>
            <w:shd w:fill="FFFFFF"/>
            <w:tcMar>
              <w:top w:w="35" w:type="dxa"/>
              <w:bottom w:w="35" w:type="dxa"/>
              <w:left w:w="80" w:type="dxa"/>
              <w:right w:w="80" w:type="dxa"/>
            </w:tcMar>
          </w:tcPr>
          <w:p>
            <w:pPr>
              <w:spacing w:after="0"/>
              <w:jc w:val="left"/>
            </w:pPr>
            <w:r>
              <w:rPr>
                <w:rFonts w:ascii="Calibri" w:hAnsi="Calibri"/>
                <w:color w:val="1F2937"/>
                <w:sz w:val="17"/>
              </w:rPr>
              <w:t>Database Dashboard &amp; KPI Metrics</w:t>
            </w:r>
          </w:p>
        </w:tc>
        <w:tc>
          <w:tcPr>
            <w:tcW w:type="dxa" w:w="6912"/>
            <w:shd w:fill="FFFFFF"/>
            <w:tcMar>
              <w:top w:w="35" w:type="dxa"/>
              <w:bottom w:w="35" w:type="dxa"/>
              <w:left w:w="80" w:type="dxa"/>
              <w:right w:w="80" w:type="dxa"/>
            </w:tcMar>
          </w:tcPr>
          <w:p>
            <w:pPr>
              <w:spacing w:after="0"/>
              <w:jc w:val="left"/>
            </w:pPr>
            <w:r>
              <w:rPr>
                <w:rFonts w:ascii="Calibri" w:hAnsi="Calibri"/>
                <w:color w:val="1F2937"/>
                <w:sz w:val="17"/>
              </w:rPr>
              <w:t>Tracks total persisted diagnoses, critical churn exposure count, and average churn probability.</w:t>
            </w:r>
          </w:p>
        </w:tc>
      </w:tr>
      <w:tr>
        <w:trPr>
          <w:cantSplit/>
        </w:trPr>
        <w:tc>
          <w:tcPr>
            <w:tcW w:type="dxa" w:w="3168"/>
            <w:shd w:fill="F8FAFC"/>
            <w:tcMar>
              <w:top w:w="35" w:type="dxa"/>
              <w:bottom w:w="35" w:type="dxa"/>
              <w:left w:w="80" w:type="dxa"/>
              <w:right w:w="80" w:type="dxa"/>
            </w:tcMar>
          </w:tcPr>
          <w:p>
            <w:pPr>
              <w:spacing w:after="0"/>
              <w:jc w:val="left"/>
            </w:pPr>
            <w:r>
              <w:rPr>
                <w:rFonts w:ascii="Calibri" w:hAnsi="Calibri"/>
                <w:color w:val="1F2937"/>
                <w:sz w:val="17"/>
              </w:rPr>
              <w:t>Customer Predictions Table</w:t>
            </w:r>
          </w:p>
        </w:tc>
        <w:tc>
          <w:tcPr>
            <w:tcW w:type="dxa" w:w="6912"/>
            <w:shd w:fill="F8FAFC"/>
            <w:tcMar>
              <w:top w:w="35" w:type="dxa"/>
              <w:bottom w:w="35" w:type="dxa"/>
              <w:left w:w="80" w:type="dxa"/>
              <w:right w:w="80" w:type="dxa"/>
            </w:tcMar>
          </w:tcPr>
          <w:p>
            <w:pPr>
              <w:spacing w:after="0"/>
              <w:jc w:val="left"/>
            </w:pPr>
            <w:r>
              <w:rPr>
                <w:rFonts w:ascii="Calibri" w:hAnsi="Calibri"/>
                <w:color w:val="1F2937"/>
                <w:sz w:val="17"/>
              </w:rPr>
              <w:t>Searchable, filterable ledger of all assessed accounts with 1-click CSV export.</w:t>
            </w:r>
          </w:p>
        </w:tc>
      </w:tr>
      <w:tr>
        <w:trPr>
          <w:cantSplit/>
        </w:trPr>
        <w:tc>
          <w:tcPr>
            <w:tcW w:type="dxa" w:w="3168"/>
            <w:shd w:fill="FFFFFF"/>
            <w:tcMar>
              <w:top w:w="35" w:type="dxa"/>
              <w:bottom w:w="35" w:type="dxa"/>
              <w:left w:w="80" w:type="dxa"/>
              <w:right w:w="80" w:type="dxa"/>
            </w:tcMar>
          </w:tcPr>
          <w:p>
            <w:pPr>
              <w:spacing w:after="0"/>
              <w:jc w:val="left"/>
            </w:pPr>
            <w:r>
              <w:rPr>
                <w:rFonts w:ascii="Calibri" w:hAnsi="Calibri"/>
                <w:color w:val="1F2937"/>
                <w:sz w:val="17"/>
              </w:rPr>
              <w:t>GenAI Campaign Log &amp; Tracker</w:t>
            </w:r>
          </w:p>
        </w:tc>
        <w:tc>
          <w:tcPr>
            <w:tcW w:type="dxa" w:w="6912"/>
            <w:shd w:fill="FFFFFF"/>
            <w:tcMar>
              <w:top w:w="35" w:type="dxa"/>
              <w:bottom w:w="35" w:type="dxa"/>
              <w:left w:w="80" w:type="dxa"/>
              <w:right w:w="80" w:type="dxa"/>
            </w:tcMar>
          </w:tcPr>
          <w:p>
            <w:pPr>
              <w:spacing w:after="0"/>
              <w:jc w:val="left"/>
            </w:pPr>
            <w:r>
              <w:rPr>
                <w:rFonts w:ascii="Calibri" w:hAnsi="Calibri"/>
                <w:color w:val="1F2937"/>
                <w:sz w:val="17"/>
              </w:rPr>
              <w:t>Maintains campaign states (Generated -&gt; Dispatched -&gt; Retained -&gt; Churned) and pitch previews.</w:t>
            </w:r>
          </w:p>
        </w:tc>
      </w:tr>
      <w:tr>
        <w:trPr>
          <w:cantSplit/>
        </w:trPr>
        <w:tc>
          <w:tcPr>
            <w:tcW w:type="dxa" w:w="3168"/>
            <w:shd w:fill="F8FAFC"/>
            <w:tcMar>
              <w:top w:w="35" w:type="dxa"/>
              <w:bottom w:w="35" w:type="dxa"/>
              <w:left w:w="80" w:type="dxa"/>
              <w:right w:w="80" w:type="dxa"/>
            </w:tcMar>
          </w:tcPr>
          <w:p>
            <w:pPr>
              <w:spacing w:after="0"/>
              <w:jc w:val="left"/>
            </w:pPr>
            <w:r>
              <w:rPr>
                <w:rFonts w:ascii="Calibri" w:hAnsi="Calibri"/>
                <w:color w:val="1F2937"/>
                <w:sz w:val="17"/>
              </w:rPr>
              <w:t>Direct Analytical SQL Sandbox</w:t>
            </w:r>
          </w:p>
        </w:tc>
        <w:tc>
          <w:tcPr>
            <w:tcW w:type="dxa" w:w="6912"/>
            <w:shd w:fill="F8FAFC"/>
            <w:tcMar>
              <w:top w:w="35" w:type="dxa"/>
              <w:bottom w:w="35" w:type="dxa"/>
              <w:left w:w="80" w:type="dxa"/>
              <w:right w:w="80" w:type="dxa"/>
            </w:tcMar>
          </w:tcPr>
          <w:p>
            <w:pPr>
              <w:spacing w:after="0"/>
              <w:jc w:val="left"/>
            </w:pPr>
            <w:r>
              <w:rPr>
                <w:rFonts w:ascii="Calibri" w:hAnsi="Calibri"/>
                <w:color w:val="1F2937"/>
                <w:sz w:val="17"/>
              </w:rPr>
              <w:t>Executes real-time SQL queries with execution time logging and instant table visualization.</w:t>
            </w:r>
          </w:p>
        </w:tc>
      </w:tr>
    </w:tbl>
    <w:p>
      <w:r>
        <w:br w:type="page"/>
      </w:r>
    </w:p>
    <w:p>
      <w:pPr>
        <w:pStyle w:val="Heading1"/>
        <w:keepNext/>
        <w:spacing w:before="0" w:after="80"/>
      </w:pPr>
      <w:r>
        <w:rPr>
          <w:rFonts w:ascii="Calibri" w:hAnsi="Calibri"/>
          <w:b/>
          <w:color w:val="1E3A8A"/>
          <w:sz w:val="28"/>
        </w:rPr>
        <w:t>9. Challenges and Limitations</w:t>
      </w:r>
    </w:p>
    <w:p>
      <w:pPr>
        <w:pStyle w:val="Heading2"/>
        <w:keepNext/>
        <w:spacing w:before="80" w:after="40"/>
      </w:pPr>
      <w:r>
        <w:rPr>
          <w:rFonts w:ascii="Calibri" w:hAnsi="Calibri"/>
          <w:b/>
          <w:color w:val="2563EB"/>
          <w:sz w:val="23"/>
        </w:rPr>
        <w:t>9.1 Technical Challenges Encountered</w:t>
      </w:r>
    </w:p>
    <w:p>
      <w:pPr>
        <w:pStyle w:val="ListBullet"/>
        <w:spacing w:before="0" w:after="50" w:line="269" w:lineRule="auto"/>
      </w:pPr>
      <w:r>
        <w:rPr>
          <w:rFonts w:ascii="Calibri" w:hAnsi="Calibri"/>
          <w:b/>
          <w:color w:val="1F2937"/>
          <w:sz w:val="20"/>
        </w:rPr>
        <w:t xml:space="preserve">• Markdown &amp; Currency Math Escaping: </w:t>
      </w:r>
      <w:r>
        <w:rPr>
          <w:rFonts w:ascii="Calibri" w:hAnsi="Calibri"/>
          <w:color w:val="374151"/>
          <w:sz w:val="20"/>
        </w:rPr>
        <w:t>Preventing unescaped currency symbols ($) from colliding with web markdown LaTeX math engines. Resolved by implementing strict dollar-sign escaping (\$) and double-spaced bullet formatting.</w:t>
      </w:r>
    </w:p>
    <w:p>
      <w:pPr>
        <w:pStyle w:val="ListBullet"/>
        <w:spacing w:before="0" w:after="50" w:line="269" w:lineRule="auto"/>
      </w:pPr>
      <w:r>
        <w:rPr>
          <w:rFonts w:ascii="Calibri" w:hAnsi="Calibri"/>
          <w:b/>
          <w:color w:val="1F2937"/>
          <w:sz w:val="20"/>
        </w:rPr>
        <w:t xml:space="preserve">• Prompt Calibration &amp; Hallucination Guardrails: </w:t>
      </w:r>
      <w:r>
        <w:rPr>
          <w:rFonts w:ascii="Calibri" w:hAnsi="Calibri"/>
          <w:color w:val="374151"/>
          <w:sz w:val="20"/>
        </w:rPr>
        <w:t>Initial open-ended prompts produced inconsistent discount percentages that occasionally exceeded corporate margin guidelines. Resolved by introducing structured prompt templates with mathematical boundary variables.</w:t>
      </w:r>
    </w:p>
    <w:p>
      <w:pPr>
        <w:pStyle w:val="ListBullet"/>
        <w:spacing w:before="0" w:after="50" w:line="269" w:lineRule="auto"/>
      </w:pPr>
      <w:r>
        <w:rPr>
          <w:rFonts w:ascii="Calibri" w:hAnsi="Calibri"/>
          <w:b/>
          <w:color w:val="1F2937"/>
          <w:sz w:val="20"/>
        </w:rPr>
        <w:t xml:space="preserve">• Harmonizing Predictive ML with Natural Language GenAI: </w:t>
      </w:r>
      <w:r>
        <w:rPr>
          <w:rFonts w:ascii="Calibri" w:hAnsi="Calibri"/>
          <w:color w:val="374151"/>
          <w:sz w:val="20"/>
        </w:rPr>
        <w:t>Seamlessly translating mathematical log-odds coefficients (e.g., +1.28 for Month-to-Month) into natural, customer-centric value propositions without sounding robotic.</w:t>
      </w:r>
    </w:p>
    <w:p>
      <w:pPr>
        <w:pStyle w:val="ListBullet"/>
        <w:spacing w:before="0" w:after="50" w:line="269" w:lineRule="auto"/>
      </w:pPr>
      <w:r>
        <w:rPr>
          <w:rFonts w:ascii="Calibri" w:hAnsi="Calibri"/>
          <w:b/>
          <w:color w:val="1F2937"/>
          <w:sz w:val="20"/>
        </w:rPr>
        <w:t xml:space="preserve">• UI Latency &amp; Real-Time Responsiveness: </w:t>
      </w:r>
      <w:r>
        <w:rPr>
          <w:rFonts w:ascii="Calibri" w:hAnsi="Calibri"/>
          <w:color w:val="374151"/>
          <w:sz w:val="20"/>
        </w:rPr>
        <w:t>Ensuring that long-form LLM generation calls do not block the reactive Streamlit UI thread during high-concurrency customer service operations.</w:t>
      </w:r>
    </w:p>
    <w:p>
      <w:pPr>
        <w:pStyle w:val="Heading2"/>
        <w:keepNext/>
        <w:spacing w:before="120" w:after="40"/>
      </w:pPr>
      <w:r>
        <w:rPr>
          <w:rFonts w:ascii="Calibri" w:hAnsi="Calibri"/>
          <w:b/>
          <w:color w:val="2563EB"/>
          <w:sz w:val="23"/>
        </w:rPr>
        <w:t>9.2 System Limitations</w:t>
      </w:r>
    </w:p>
    <w:p>
      <w:pPr>
        <w:pStyle w:val="ListBullet"/>
        <w:spacing w:before="0" w:after="50" w:line="269" w:lineRule="auto"/>
      </w:pPr>
      <w:r>
        <w:rPr>
          <w:rFonts w:ascii="Calibri" w:hAnsi="Calibri"/>
          <w:b/>
          <w:color w:val="1F2937"/>
          <w:sz w:val="20"/>
        </w:rPr>
        <w:t xml:space="preserve">• Single Language Scope: </w:t>
      </w:r>
      <w:r>
        <w:rPr>
          <w:rFonts w:ascii="Calibri" w:hAnsi="Calibri"/>
          <w:color w:val="374151"/>
          <w:sz w:val="20"/>
        </w:rPr>
        <w:t>The current release generates communications in English; multi-language localized generation (e.g., Spanish, French) is planned for future iterations.</w:t>
      </w:r>
    </w:p>
    <w:p>
      <w:pPr>
        <w:pStyle w:val="ListBullet"/>
        <w:spacing w:before="0" w:after="50" w:line="269" w:lineRule="auto"/>
      </w:pPr>
      <w:r>
        <w:rPr>
          <w:rFonts w:ascii="Calibri" w:hAnsi="Calibri"/>
          <w:b/>
          <w:color w:val="1F2937"/>
          <w:sz w:val="20"/>
        </w:rPr>
        <w:t xml:space="preserve">• External API Token &amp; Quota Dependencies: </w:t>
      </w:r>
      <w:r>
        <w:rPr>
          <w:rFonts w:ascii="Calibri" w:hAnsi="Calibri"/>
          <w:color w:val="374151"/>
          <w:sz w:val="20"/>
        </w:rPr>
        <w:t>In high-throughput enterprise deployments, external LLM API token quotas and latency fluctuations require local caching and batch queueing.</w:t>
      </w:r>
    </w:p>
    <w:p>
      <w:pPr>
        <w:pStyle w:val="ListBullet"/>
        <w:spacing w:before="0" w:after="50" w:line="269" w:lineRule="auto"/>
      </w:pPr>
      <w:r>
        <w:rPr>
          <w:rFonts w:ascii="Calibri" w:hAnsi="Calibri"/>
          <w:b/>
          <w:color w:val="1F2937"/>
          <w:sz w:val="20"/>
        </w:rPr>
        <w:t xml:space="preserve">• Integration Boundaries: </w:t>
      </w:r>
      <w:r>
        <w:rPr>
          <w:rFonts w:ascii="Calibri" w:hAnsi="Calibri"/>
          <w:color w:val="374151"/>
          <w:sz w:val="20"/>
        </w:rPr>
        <w:t>The current web interface operates on file uploads and form inputs rather than direct live bidirectional database sockets with legacy on-premise telecom billing mainframes.</w:t>
      </w:r>
    </w:p>
    <w:p>
      <w:pPr>
        <w:pStyle w:val="Heading1"/>
        <w:keepNext/>
        <w:spacing w:before="160" w:after="80"/>
      </w:pPr>
      <w:r>
        <w:rPr>
          <w:rFonts w:ascii="Calibri" w:hAnsi="Calibri"/>
          <w:b/>
          <w:color w:val="1E3A8A"/>
          <w:sz w:val="28"/>
        </w:rPr>
        <w:t>10. Conclusion</w:t>
      </w:r>
    </w:p>
    <w:p>
      <w:pPr>
        <w:keepNext w:val="0"/>
        <w:spacing w:before="0" w:after="60" w:line="269" w:lineRule="auto"/>
      </w:pPr>
      <w:r>
        <w:rPr>
          <w:rFonts w:ascii="Calibri" w:hAnsi="Calibri"/>
          <w:color w:val="374151"/>
          <w:sz w:val="20"/>
        </w:rPr>
        <w:t>The TelcoPulse AI project demonstrates the practical and commercial power of combining Predictive Machine Learning with Generative AI:</w:t>
      </w:r>
    </w:p>
    <w:p>
      <w:pPr>
        <w:pStyle w:val="ListBullet"/>
        <w:spacing w:before="0" w:after="50" w:line="269" w:lineRule="auto"/>
      </w:pPr>
      <w:r>
        <w:rPr>
          <w:rFonts w:ascii="Calibri" w:hAnsi="Calibri"/>
          <w:b/>
          <w:color w:val="1F2937"/>
          <w:sz w:val="20"/>
        </w:rPr>
        <w:t xml:space="preserve">1. Successfully Developed GenAI Platform: </w:t>
      </w:r>
      <w:r>
        <w:rPr>
          <w:rFonts w:ascii="Calibri" w:hAnsi="Calibri"/>
          <w:color w:val="374151"/>
          <w:sz w:val="20"/>
        </w:rPr>
        <w:t>A full-featured Generative AI decision support platform was successfully developed, tested, and deployed to Streamlit Community Cloud (https://telecomcustomers.streamlit.app/).</w:t>
      </w:r>
    </w:p>
    <w:p>
      <w:pPr>
        <w:pStyle w:val="ListBullet"/>
        <w:spacing w:before="0" w:after="50" w:line="269" w:lineRule="auto"/>
      </w:pPr>
      <w:r>
        <w:rPr>
          <w:rFonts w:ascii="Calibri" w:hAnsi="Calibri"/>
          <w:b/>
          <w:color w:val="1F2937"/>
          <w:sz w:val="20"/>
        </w:rPr>
        <w:t xml:space="preserve">2. Transformative Role of Generative AI: </w:t>
      </w:r>
      <w:r>
        <w:rPr>
          <w:rFonts w:ascii="Calibri" w:hAnsi="Calibri"/>
          <w:color w:val="374151"/>
          <w:sz w:val="20"/>
        </w:rPr>
        <w:t>Generative AI transforms raw probability scores into empathetic, highly customized retention communications, bridging the gap between data science algorithms and human customer care interactions.</w:t>
      </w:r>
    </w:p>
    <w:p>
      <w:pPr>
        <w:pStyle w:val="ListBullet"/>
        <w:spacing w:before="0" w:after="50" w:line="269" w:lineRule="auto"/>
      </w:pPr>
      <w:r>
        <w:rPr>
          <w:rFonts w:ascii="Calibri" w:hAnsi="Calibri"/>
          <w:b/>
          <w:color w:val="1F2937"/>
          <w:sz w:val="20"/>
        </w:rPr>
        <w:t xml:space="preserve">3. Measurable Operational Utility: </w:t>
      </w:r>
      <w:r>
        <w:rPr>
          <w:rFonts w:ascii="Calibri" w:hAnsi="Calibri"/>
          <w:color w:val="374151"/>
          <w:sz w:val="20"/>
        </w:rPr>
        <w:t>Frontline agents are equipped with instant, tailored objection scripts and multi-tiered concession playbooks, reducing copywriting effort by 99% while boosting retention likelihood.</w:t>
      </w:r>
    </w:p>
    <w:p>
      <w:pPr>
        <w:pStyle w:val="ListBullet"/>
        <w:spacing w:before="0" w:after="50" w:line="269" w:lineRule="auto"/>
      </w:pPr>
      <w:r>
        <w:rPr>
          <w:rFonts w:ascii="Calibri" w:hAnsi="Calibri"/>
          <w:b/>
          <w:color w:val="1F2937"/>
          <w:sz w:val="20"/>
        </w:rPr>
        <w:t xml:space="preserve">4. Key Technical Learnings: </w:t>
      </w:r>
      <w:r>
        <w:rPr>
          <w:rFonts w:ascii="Calibri" w:hAnsi="Calibri"/>
          <w:color w:val="374151"/>
          <w:sz w:val="20"/>
        </w:rPr>
        <w:t>Mastered structured prompt engineering, stochastic temperature sampling, LLM API integration, UI design with Streamlit, and hybrid AI system architectures.</w:t>
      </w:r>
    </w:p>
    <w:p>
      <w:r>
        <w:br w:type="page"/>
      </w:r>
    </w:p>
    <w:p>
      <w:pPr>
        <w:pStyle w:val="Heading1"/>
        <w:keepNext/>
        <w:spacing w:before="0" w:after="80"/>
      </w:pPr>
      <w:r>
        <w:rPr>
          <w:rFonts w:ascii="Calibri" w:hAnsi="Calibri"/>
          <w:b/>
          <w:color w:val="1E3A8A"/>
          <w:sz w:val="28"/>
        </w:rPr>
        <w:t>11. Future Scope</w:t>
      </w:r>
    </w:p>
    <w:p>
      <w:pPr>
        <w:keepNext w:val="0"/>
        <w:spacing w:before="0" w:after="60" w:line="269" w:lineRule="auto"/>
      </w:pPr>
      <w:r>
        <w:rPr>
          <w:rFonts w:ascii="Calibri" w:hAnsi="Calibri"/>
          <w:color w:val="374151"/>
          <w:sz w:val="20"/>
        </w:rPr>
        <w:t>Future enhancements planned for subsequent enterprise versions include:</w:t>
      </w:r>
    </w:p>
    <w:p>
      <w:pPr>
        <w:pStyle w:val="ListBullet"/>
        <w:spacing w:before="0" w:after="50" w:line="269" w:lineRule="auto"/>
      </w:pPr>
      <w:r>
        <w:rPr>
          <w:rFonts w:ascii="Calibri" w:hAnsi="Calibri"/>
          <w:b/>
          <w:color w:val="1F2937"/>
          <w:sz w:val="20"/>
        </w:rPr>
        <w:t xml:space="preserve">1. Multimodal Document &amp; Voice Ingestion: </w:t>
      </w:r>
      <w:r>
        <w:rPr>
          <w:rFonts w:ascii="Calibri" w:hAnsi="Calibri"/>
          <w:color w:val="374151"/>
          <w:sz w:val="20"/>
        </w:rPr>
        <w:t>Enable the GenAI engine to ingest and analyze customer billing PDF statements and past support call audio recordings.</w:t>
      </w:r>
    </w:p>
    <w:p>
      <w:pPr>
        <w:pStyle w:val="ListBullet"/>
        <w:spacing w:before="0" w:after="50" w:line="269" w:lineRule="auto"/>
      </w:pPr>
      <w:r>
        <w:rPr>
          <w:rFonts w:ascii="Calibri" w:hAnsi="Calibri"/>
          <w:b/>
          <w:color w:val="1F2937"/>
          <w:sz w:val="20"/>
        </w:rPr>
        <w:t xml:space="preserve">2. Domain-Specific LLM Fine-Tuning: </w:t>
      </w:r>
      <w:r>
        <w:rPr>
          <w:rFonts w:ascii="Calibri" w:hAnsi="Calibri"/>
          <w:color w:val="374151"/>
          <w:sz w:val="20"/>
        </w:rPr>
        <w:t>Fine-tune open-source foundation models (e.g., LLaMA-3, Mistral) on historical telecom retention call transcripts for domain-specific mastery.</w:t>
      </w:r>
    </w:p>
    <w:p>
      <w:pPr>
        <w:pStyle w:val="ListBullet"/>
        <w:spacing w:before="0" w:after="50" w:line="269" w:lineRule="auto"/>
      </w:pPr>
      <w:r>
        <w:rPr>
          <w:rFonts w:ascii="Calibri" w:hAnsi="Calibri"/>
          <w:b/>
          <w:color w:val="1F2937"/>
          <w:sz w:val="20"/>
        </w:rPr>
        <w:t xml:space="preserve">3. Multilingual Communication Generation: </w:t>
      </w:r>
      <w:r>
        <w:rPr>
          <w:rFonts w:ascii="Calibri" w:hAnsi="Calibri"/>
          <w:color w:val="374151"/>
          <w:sz w:val="20"/>
        </w:rPr>
        <w:t>Add real-time multilingual copywriting to support diverse subscriber demographics across international telecom markets.</w:t>
      </w:r>
    </w:p>
    <w:p>
      <w:pPr>
        <w:pStyle w:val="ListBullet"/>
        <w:spacing w:before="0" w:after="50" w:line="269" w:lineRule="auto"/>
      </w:pPr>
      <w:r>
        <w:rPr>
          <w:rFonts w:ascii="Calibri" w:hAnsi="Calibri"/>
          <w:b/>
          <w:color w:val="1F2937"/>
          <w:sz w:val="20"/>
        </w:rPr>
        <w:t xml:space="preserve">4. Enterprise CRM &amp; Automated SMS Gateways: </w:t>
      </w:r>
      <w:r>
        <w:rPr>
          <w:rFonts w:ascii="Calibri" w:hAnsi="Calibri"/>
          <w:color w:val="374151"/>
          <w:sz w:val="20"/>
        </w:rPr>
        <w:t>Establish direct bidirectional REST API connectors with enterprise CRM ecosystems (Salesforce Service Cloud, SAP Customer Experience, Zendesk).</w:t>
      </w:r>
    </w:p>
    <w:p>
      <w:pPr>
        <w:pStyle w:val="ListBullet"/>
        <w:spacing w:before="0" w:after="50" w:line="269" w:lineRule="auto"/>
      </w:pPr>
      <w:r>
        <w:rPr>
          <w:rFonts w:ascii="Calibri" w:hAnsi="Calibri"/>
          <w:b/>
          <w:color w:val="1F2937"/>
          <w:sz w:val="20"/>
        </w:rPr>
        <w:t xml:space="preserve">5. Autonomous A/B Optimization Engine: </w:t>
      </w:r>
      <w:r>
        <w:rPr>
          <w:rFonts w:ascii="Calibri" w:hAnsi="Calibri"/>
          <w:color w:val="374151"/>
          <w:sz w:val="20"/>
        </w:rPr>
        <w:t>Implement automated A/B testing of generated subject lines and promotional incentives to continuously learn which framing produces maximum retention rates.</w:t>
      </w:r>
    </w:p>
    <w:p>
      <w:pPr>
        <w:pStyle w:val="Heading1"/>
        <w:keepNext/>
        <w:spacing w:before="160" w:after="80"/>
      </w:pPr>
      <w:r>
        <w:rPr>
          <w:rFonts w:ascii="Calibri" w:hAnsi="Calibri"/>
          <w:b/>
          <w:color w:val="1E3A8A"/>
          <w:sz w:val="28"/>
        </w:rPr>
        <w:t>12. References</w:t>
      </w:r>
    </w:p>
    <w:p>
      <w:pPr>
        <w:spacing w:before="0" w:after="50" w:line="264" w:lineRule="auto"/>
      </w:pPr>
      <w:r>
        <w:rPr>
          <w:rFonts w:ascii="Calibri" w:hAnsi="Calibri"/>
          <w:color w:val="374151"/>
          <w:sz w:val="18"/>
        </w:rPr>
        <w:t>1. Google DeepMind. 'Gemini: A Family of Highly Capable Multimodal Models', Google Research Technical Report, 2023.</w:t>
      </w:r>
    </w:p>
    <w:p>
      <w:pPr>
        <w:spacing w:before="0" w:after="50" w:line="264" w:lineRule="auto"/>
      </w:pPr>
      <w:r>
        <w:rPr>
          <w:rFonts w:ascii="Calibri" w:hAnsi="Calibri"/>
          <w:color w:val="374151"/>
          <w:sz w:val="18"/>
        </w:rPr>
        <w:t>2. Vaswani, A., et al. 'Attention Is All You Need', Advances in Neural Information Processing Systems (NeurIPS), 30, 2017.</w:t>
      </w:r>
    </w:p>
    <w:p>
      <w:pPr>
        <w:spacing w:before="0" w:after="50" w:line="264" w:lineRule="auto"/>
      </w:pPr>
      <w:r>
        <w:rPr>
          <w:rFonts w:ascii="Calibri" w:hAnsi="Calibri"/>
          <w:color w:val="374151"/>
          <w:sz w:val="18"/>
        </w:rPr>
        <w:t>3. Brown, T., et al. 'Language Models are Few-Shot Learners', Advances in Neural Information Processing Systems (NeurIPS), 33, 2020.</w:t>
      </w:r>
    </w:p>
    <w:p>
      <w:pPr>
        <w:spacing w:before="0" w:after="50" w:line="264" w:lineRule="auto"/>
      </w:pPr>
      <w:r>
        <w:rPr>
          <w:rFonts w:ascii="Calibri" w:hAnsi="Calibri"/>
          <w:color w:val="374151"/>
          <w:sz w:val="18"/>
        </w:rPr>
        <w:t>4. Wei, J., et al. 'Chain-of-Thought Prompting Elicits Reasoning in Large Language Models', NeurIPS, 2022.</w:t>
      </w:r>
    </w:p>
    <w:p>
      <w:pPr>
        <w:spacing w:before="0" w:after="50" w:line="264" w:lineRule="auto"/>
      </w:pPr>
      <w:r>
        <w:rPr>
          <w:rFonts w:ascii="Calibri" w:hAnsi="Calibri"/>
          <w:color w:val="374151"/>
          <w:sz w:val="18"/>
        </w:rPr>
        <w:t>5. Streamlit Documentation. 'Streamlit: The fastest way to build and share data apps', https://docs.streamlit.io/, 2024.</w:t>
      </w:r>
    </w:p>
    <w:p>
      <w:pPr>
        <w:spacing w:before="0" w:after="50" w:line="264" w:lineRule="auto"/>
      </w:pPr>
      <w:r>
        <w:rPr>
          <w:rFonts w:ascii="Calibri" w:hAnsi="Calibri"/>
          <w:color w:val="374151"/>
          <w:sz w:val="18"/>
        </w:rPr>
        <w:t>6. Pedregosa, F., et al. 'Scikit-learn: Machine Learning in Python', Journal of Machine Learning Research, 12, pp. 2825-2830, 2011.</w:t>
      </w:r>
    </w:p>
    <w:p>
      <w:pPr>
        <w:spacing w:before="0" w:after="50" w:line="264" w:lineRule="auto"/>
      </w:pPr>
      <w:r>
        <w:rPr>
          <w:rFonts w:ascii="Calibri" w:hAnsi="Calibri"/>
          <w:color w:val="374151"/>
          <w:sz w:val="18"/>
        </w:rPr>
        <w:t>7. IBM Corporation. 'Telco Customer Churn Dataset', IBM Business Analytics Community &amp; Kaggle Repository, 2019.</w:t>
      </w:r>
    </w:p>
    <w:p>
      <w:pPr>
        <w:spacing w:before="0" w:after="50" w:line="264" w:lineRule="auto"/>
      </w:pPr>
      <w:r>
        <w:rPr>
          <w:rFonts w:ascii="Calibri" w:hAnsi="Calibri"/>
          <w:color w:val="374151"/>
          <w:sz w:val="18"/>
        </w:rPr>
        <w:t>8. Plotly Technologies Inc. 'Collaborative data science and interactive visualization library', https://plotly.com/python/, 2024.</w:t>
      </w:r>
    </w:p>
    <w:sectPr w:rsidR="00FC693F" w:rsidRPr="0006063C" w:rsidSect="00034616">
      <w:headerReference w:type="default" r:id="rId9"/>
      <w:footerReference w:type="default" r:id="rId10"/>
      <w:pgSz w:w="12240" w:h="15840"/>
      <w:pgMar w:top="1080" w:right="1080" w:bottom="1080" w:left="1080" w:header="576"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
      <w:rPr>
        <w:rFonts w:ascii="Calibri" w:hAnsi="Calibri"/>
        <w:color w:val="64748B"/>
        <w:sz w:val="17"/>
      </w:rPr>
      <w:t>Department of Computer Science &amp; Engineering  |  Academic Year 2025-26</w:t>
      <w:tab/>
      <w:tab/>
      <w:t xml:space="preserve">Page </w:t>
    </w:r>
    <w:fldSimple w:instr="PAGE"/>
    <w:r>
      <w:rPr>
        <w:rFonts w:ascii="Calibri" w:hAnsi="Calibri"/>
        <w:color w:val="64748B"/>
        <w:sz w:val="17"/>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
      <w:rPr>
        <w:rFonts w:ascii="Calibri" w:hAnsi="Calibri"/>
        <w:i/>
        <w:color w:val="64748B"/>
        <w:sz w:val="17"/>
      </w:rPr>
      <w:t>TelcoPulse AI: Generative AI Retention Copilot  |  Learning Block 1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