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alibri" w:hAnsi="Calibri"/>
          <w:b/>
          <w:color w:val="1E3A8A"/>
          <w:sz w:val="42"/>
        </w:rPr>
        <w:t>TelcoPulse AI: Generative AI-Powered Telecom Customer Retention &amp; Win-Back Copilot</w:t>
      </w:r>
    </w:p>
    <w:p>
      <w:pPr>
        <w:jc w:val="center"/>
      </w:pPr>
      <w:r>
        <w:rPr>
          <w:rFonts w:ascii="Calibri" w:hAnsi="Calibri"/>
          <w:b/>
          <w:color w:val="2563EB"/>
          <w:sz w:val="26"/>
        </w:rPr>
        <w:t>Learning Block 1 Project Report</w:t>
      </w:r>
    </w:p>
    <w:p>
      <w:pPr>
        <w:spacing w:after="720"/>
        <w:jc w:val="center"/>
      </w:pPr>
      <w:r>
        <w:rPr>
          <w:rFonts w:ascii="Calibri" w:hAnsi="Calibri"/>
          <w:i/>
          <w:color w:val="4B5563"/>
          <w:sz w:val="23"/>
        </w:rPr>
        <w:t>A Generative AI Decision Support System for Automated Win-Back Campaign Generation &amp; Agent Negotiation Intelligence</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40" w:type="dxa"/>
              <w:right w:w="240" w:type="dxa"/>
            </w:tcMar>
          </w:tcPr>
          <w:p>
            <w:pPr>
              <w:jc w:val="center"/>
            </w:pPr>
            <w:r>
              <w:rPr>
                <w:rFonts w:ascii="Calibri" w:hAnsi="Calibri"/>
                <w:b/>
                <w:color w:val="1E3A8A"/>
                <w:sz w:val="23"/>
              </w:rPr>
              <w:t xml:space="preserve">Submitted by: </w:t>
            </w:r>
            <w:r>
              <w:rPr>
                <w:rFonts w:ascii="Calibri" w:hAnsi="Calibri"/>
                <w:color w:val="1F2937"/>
                <w:sz w:val="23"/>
              </w:rPr>
              <w:t>Anaganti Sairishikesh</w:t>
              <w:br/>
            </w:r>
            <w:r>
              <w:rPr>
                <w:rFonts w:ascii="Calibri" w:hAnsi="Calibri"/>
                <w:b/>
                <w:color w:val="1E3A8A"/>
                <w:sz w:val="23"/>
              </w:rPr>
              <w:t xml:space="preserve">College / Institute Name: </w:t>
            </w:r>
            <w:r>
              <w:rPr>
                <w:rFonts w:ascii="Calibri" w:hAnsi="Calibri"/>
                <w:color w:val="1F2937"/>
                <w:sz w:val="23"/>
              </w:rPr>
              <w:t>Engineering &amp; Technology Institute / University</w:t>
              <w:br/>
            </w:r>
            <w:r>
              <w:rPr>
                <w:rFonts w:ascii="Calibri" w:hAnsi="Calibri"/>
                <w:b/>
                <w:color w:val="1E3A8A"/>
                <w:sz w:val="23"/>
              </w:rPr>
              <w:t xml:space="preserve">Department: </w:t>
            </w:r>
            <w:r>
              <w:rPr>
                <w:rFonts w:ascii="Calibri" w:hAnsi="Calibri"/>
                <w:color w:val="1F2937"/>
                <w:sz w:val="23"/>
              </w:rPr>
              <w:t>Department of Computer Science and Engineering</w:t>
              <w:br/>
            </w:r>
            <w:r>
              <w:rPr>
                <w:rFonts w:ascii="Calibri" w:hAnsi="Calibri"/>
                <w:b/>
                <w:color w:val="1E3A8A"/>
                <w:sz w:val="23"/>
              </w:rPr>
              <w:t xml:space="preserve">Academic Year: </w:t>
            </w:r>
            <w:r>
              <w:rPr>
                <w:rFonts w:ascii="Calibri" w:hAnsi="Calibri"/>
                <w:color w:val="1F2937"/>
                <w:sz w:val="23"/>
              </w:rPr>
              <w:t>Final / Pre-Final Year (2025–2026)</w:t>
              <w:br/>
            </w:r>
            <w:r>
              <w:rPr>
                <w:rFonts w:ascii="Calibri" w:hAnsi="Calibri"/>
                <w:b/>
                <w:color w:val="1E3A8A"/>
                <w:sz w:val="23"/>
              </w:rPr>
              <w:t xml:space="preserve">Guided by: </w:t>
            </w:r>
            <w:r>
              <w:rPr>
                <w:rFonts w:ascii="Calibri" w:hAnsi="Calibri"/>
                <w:color w:val="1F2937"/>
                <w:sz w:val="23"/>
              </w:rPr>
              <w:t>Faculty Project Mentor / Guide</w:t>
              <w:br/>
            </w:r>
            <w:r>
              <w:rPr>
                <w:rFonts w:ascii="Calibri" w:hAnsi="Calibri"/>
                <w:b/>
                <w:color w:val="1E3A8A"/>
                <w:sz w:val="23"/>
              </w:rPr>
              <w:t xml:space="preserve">Project Domain: </w:t>
            </w:r>
            <w:r>
              <w:rPr>
                <w:rFonts w:ascii="Calibri" w:hAnsi="Calibri"/>
                <w:color w:val="1F2937"/>
                <w:sz w:val="23"/>
              </w:rPr>
              <w:t>Generative Artificial Intelligence (GenAI) &amp; LLMs</w:t>
              <w:br/>
            </w:r>
          </w:p>
        </w:tc>
      </w:tr>
    </w:tbl>
    <w:p>
      <w:r>
        <w:br w:type="page"/>
      </w:r>
    </w:p>
    <w:p>
      <w:pPr>
        <w:pStyle w:val="Heading1"/>
        <w:keepNext/>
        <w:spacing w:before="280" w:after="80"/>
      </w:pPr>
      <w:r>
        <w:rPr>
          <w:rFonts w:ascii="Calibri" w:hAnsi="Calibri"/>
          <w:b/>
          <w:color w:val="1E3A8A"/>
          <w:sz w:val="34"/>
        </w:rPr>
        <w:t>Index</w:t>
      </w:r>
    </w:p>
    <w:tbl>
      <w:tblPr>
        <w:tblW w:type="auto" w:w="0"/>
        <w:jc w:val="center"/>
        <w:tblLook w:firstColumn="1" w:firstRow="1" w:lastColumn="0" w:lastRow="0" w:noHBand="0" w:noVBand="1" w:val="04A0"/>
      </w:tblPr>
      <w:tblGrid>
        <w:gridCol w:w="3120"/>
        <w:gridCol w:w="3120"/>
        <w:gridCol w:w="3120"/>
      </w:tblGrid>
      <w:tr>
        <w:tc>
          <w:tcPr>
            <w:tcW w:type="dxa" w:w="1152"/>
            <w:shd w:fill="1E3A8A"/>
            <w:tcMar>
              <w:top w:w="100" w:type="dxa"/>
              <w:bottom w:w="100" w:type="dxa"/>
              <w:left w:w="100" w:type="dxa"/>
              <w:right w:w="100" w:type="dxa"/>
            </w:tcMar>
          </w:tcPr>
          <w:p>
            <w:pPr>
              <w:jc w:val="center"/>
            </w:pPr>
            <w:r>
              <w:rPr>
                <w:rFonts w:ascii="Calibri" w:hAnsi="Calibri"/>
                <w:b/>
                <w:color w:val="FFFFFF"/>
                <w:sz w:val="19"/>
              </w:rPr>
              <w:t>S.No</w:t>
            </w:r>
          </w:p>
        </w:tc>
        <w:tc>
          <w:tcPr>
            <w:tcW w:type="dxa" w:w="6768"/>
            <w:shd w:fill="1E3A8A"/>
            <w:tcMar>
              <w:top w:w="100" w:type="dxa"/>
              <w:bottom w:w="100" w:type="dxa"/>
              <w:left w:w="100" w:type="dxa"/>
              <w:right w:w="100" w:type="dxa"/>
            </w:tcMar>
          </w:tcPr>
          <w:p>
            <w:pPr>
              <w:jc w:val="center"/>
            </w:pPr>
            <w:r>
              <w:rPr>
                <w:rFonts w:ascii="Calibri" w:hAnsi="Calibri"/>
                <w:b/>
                <w:color w:val="FFFFFF"/>
                <w:sz w:val="19"/>
              </w:rPr>
              <w:t>Topic / Chapter Name</w:t>
            </w:r>
          </w:p>
        </w:tc>
        <w:tc>
          <w:tcPr>
            <w:tcW w:type="dxa" w:w="1440"/>
            <w:shd w:fill="1E3A8A"/>
            <w:tcMar>
              <w:top w:w="100" w:type="dxa"/>
              <w:bottom w:w="100" w:type="dxa"/>
              <w:left w:w="100" w:type="dxa"/>
              <w:right w:w="100" w:type="dxa"/>
            </w:tcMar>
          </w:tcPr>
          <w:p>
            <w:pPr>
              <w:jc w:val="center"/>
            </w:pPr>
            <w:r>
              <w:rPr>
                <w:rFonts w:ascii="Calibri" w:hAnsi="Calibri"/>
                <w:b/>
                <w:color w:val="FFFFFF"/>
                <w:sz w:val="19"/>
              </w:rPr>
              <w:t>Page No.</w:t>
            </w:r>
          </w:p>
        </w:tc>
      </w:tr>
      <w:tr>
        <w:tc>
          <w:tcPr>
            <w:tcW w:type="dxa" w:w="1152"/>
            <w:shd w:fill="FFFFFF"/>
            <w:tcMar>
              <w:top w:w="70" w:type="dxa"/>
              <w:bottom w:w="70" w:type="dxa"/>
              <w:left w:w="90" w:type="dxa"/>
              <w:right w:w="90" w:type="dxa"/>
            </w:tcMar>
          </w:tcPr>
          <w:p>
            <w:pPr>
              <w:jc w:val="left"/>
            </w:pPr>
            <w:r>
              <w:rPr>
                <w:rFonts w:ascii="Calibri" w:hAnsi="Calibri"/>
                <w:color w:val="1F2937"/>
                <w:sz w:val="18"/>
              </w:rPr>
              <w:t>1</w:t>
            </w:r>
          </w:p>
        </w:tc>
        <w:tc>
          <w:tcPr>
            <w:tcW w:type="dxa" w:w="6768"/>
            <w:shd w:fill="FFFFFF"/>
            <w:tcMar>
              <w:top w:w="70" w:type="dxa"/>
              <w:bottom w:w="70" w:type="dxa"/>
              <w:left w:w="90" w:type="dxa"/>
              <w:right w:w="90" w:type="dxa"/>
            </w:tcMar>
          </w:tcPr>
          <w:p>
            <w:pPr>
              <w:jc w:val="center"/>
            </w:pPr>
            <w:r>
              <w:rPr>
                <w:rFonts w:ascii="Calibri" w:hAnsi="Calibri"/>
                <w:color w:val="1F2937"/>
                <w:sz w:val="18"/>
              </w:rPr>
              <w:t>Introduction</w:t>
            </w:r>
          </w:p>
        </w:tc>
        <w:tc>
          <w:tcPr>
            <w:tcW w:type="dxa" w:w="1440"/>
            <w:shd w:fill="FFFFFF"/>
            <w:tcMar>
              <w:top w:w="70" w:type="dxa"/>
              <w:bottom w:w="70" w:type="dxa"/>
              <w:left w:w="90" w:type="dxa"/>
              <w:right w:w="90" w:type="dxa"/>
            </w:tcMar>
          </w:tcPr>
          <w:p>
            <w:pPr>
              <w:jc w:val="center"/>
            </w:pPr>
            <w:r>
              <w:rPr>
                <w:rFonts w:ascii="Calibri" w:hAnsi="Calibri"/>
                <w:color w:val="1F2937"/>
                <w:sz w:val="18"/>
              </w:rPr>
              <w:t>3</w:t>
            </w:r>
          </w:p>
        </w:tc>
      </w:tr>
      <w:tr>
        <w:tc>
          <w:tcPr>
            <w:tcW w:type="dxa" w:w="1152"/>
            <w:shd w:fill="F8FAFC"/>
            <w:tcMar>
              <w:top w:w="70" w:type="dxa"/>
              <w:bottom w:w="70" w:type="dxa"/>
              <w:left w:w="90" w:type="dxa"/>
              <w:right w:w="90" w:type="dxa"/>
            </w:tcMar>
          </w:tcPr>
          <w:p>
            <w:pPr>
              <w:jc w:val="left"/>
            </w:pPr>
            <w:r>
              <w:rPr>
                <w:rFonts w:ascii="Calibri" w:hAnsi="Calibri"/>
                <w:color w:val="1F2937"/>
                <w:sz w:val="18"/>
              </w:rPr>
              <w:t>2</w:t>
            </w:r>
          </w:p>
        </w:tc>
        <w:tc>
          <w:tcPr>
            <w:tcW w:type="dxa" w:w="6768"/>
            <w:shd w:fill="F8FAFC"/>
            <w:tcMar>
              <w:top w:w="70" w:type="dxa"/>
              <w:bottom w:w="70" w:type="dxa"/>
              <w:left w:w="90" w:type="dxa"/>
              <w:right w:w="90" w:type="dxa"/>
            </w:tcMar>
          </w:tcPr>
          <w:p>
            <w:pPr>
              <w:jc w:val="center"/>
            </w:pPr>
            <w:r>
              <w:rPr>
                <w:rFonts w:ascii="Calibri" w:hAnsi="Calibri"/>
                <w:color w:val="1F2937"/>
                <w:sz w:val="18"/>
              </w:rPr>
              <w:t>Problem Statement</w:t>
            </w:r>
          </w:p>
        </w:tc>
        <w:tc>
          <w:tcPr>
            <w:tcW w:type="dxa" w:w="1440"/>
            <w:shd w:fill="F8FAFC"/>
            <w:tcMar>
              <w:top w:w="70" w:type="dxa"/>
              <w:bottom w:w="70" w:type="dxa"/>
              <w:left w:w="90" w:type="dxa"/>
              <w:right w:w="90" w:type="dxa"/>
            </w:tcMar>
          </w:tcPr>
          <w:p>
            <w:pPr>
              <w:jc w:val="center"/>
            </w:pPr>
            <w:r>
              <w:rPr>
                <w:rFonts w:ascii="Calibri" w:hAnsi="Calibri"/>
                <w:color w:val="1F2937"/>
                <w:sz w:val="18"/>
              </w:rPr>
              <w:t>4</w:t>
            </w:r>
          </w:p>
        </w:tc>
      </w:tr>
      <w:tr>
        <w:tc>
          <w:tcPr>
            <w:tcW w:type="dxa" w:w="1152"/>
            <w:shd w:fill="FFFFFF"/>
            <w:tcMar>
              <w:top w:w="70" w:type="dxa"/>
              <w:bottom w:w="70" w:type="dxa"/>
              <w:left w:w="90" w:type="dxa"/>
              <w:right w:w="90" w:type="dxa"/>
            </w:tcMar>
          </w:tcPr>
          <w:p>
            <w:pPr>
              <w:jc w:val="left"/>
            </w:pPr>
            <w:r>
              <w:rPr>
                <w:rFonts w:ascii="Calibri" w:hAnsi="Calibri"/>
                <w:color w:val="1F2937"/>
                <w:sz w:val="18"/>
              </w:rPr>
              <w:t>3</w:t>
            </w:r>
          </w:p>
        </w:tc>
        <w:tc>
          <w:tcPr>
            <w:tcW w:type="dxa" w:w="6768"/>
            <w:shd w:fill="FFFFFF"/>
            <w:tcMar>
              <w:top w:w="70" w:type="dxa"/>
              <w:bottom w:w="70" w:type="dxa"/>
              <w:left w:w="90" w:type="dxa"/>
              <w:right w:w="90" w:type="dxa"/>
            </w:tcMar>
          </w:tcPr>
          <w:p>
            <w:pPr>
              <w:jc w:val="center"/>
            </w:pPr>
            <w:r>
              <w:rPr>
                <w:rFonts w:ascii="Calibri" w:hAnsi="Calibri"/>
                <w:color w:val="1F2937"/>
                <w:sz w:val="18"/>
              </w:rPr>
              <w:t>Objectives</w:t>
            </w:r>
          </w:p>
        </w:tc>
        <w:tc>
          <w:tcPr>
            <w:tcW w:type="dxa" w:w="1440"/>
            <w:shd w:fill="FFFFFF"/>
            <w:tcMar>
              <w:top w:w="70" w:type="dxa"/>
              <w:bottom w:w="70" w:type="dxa"/>
              <w:left w:w="90" w:type="dxa"/>
              <w:right w:w="90" w:type="dxa"/>
            </w:tcMar>
          </w:tcPr>
          <w:p>
            <w:pPr>
              <w:jc w:val="center"/>
            </w:pPr>
            <w:r>
              <w:rPr>
                <w:rFonts w:ascii="Calibri" w:hAnsi="Calibri"/>
                <w:color w:val="1F2937"/>
                <w:sz w:val="18"/>
              </w:rPr>
              <w:t>5</w:t>
            </w:r>
          </w:p>
        </w:tc>
      </w:tr>
      <w:tr>
        <w:tc>
          <w:tcPr>
            <w:tcW w:type="dxa" w:w="1152"/>
            <w:shd w:fill="F8FAFC"/>
            <w:tcMar>
              <w:top w:w="70" w:type="dxa"/>
              <w:bottom w:w="70" w:type="dxa"/>
              <w:left w:w="90" w:type="dxa"/>
              <w:right w:w="90" w:type="dxa"/>
            </w:tcMar>
          </w:tcPr>
          <w:p>
            <w:pPr>
              <w:jc w:val="left"/>
            </w:pPr>
            <w:r>
              <w:rPr>
                <w:rFonts w:ascii="Calibri" w:hAnsi="Calibri"/>
                <w:color w:val="1F2937"/>
                <w:sz w:val="18"/>
              </w:rPr>
              <w:t>4</w:t>
            </w:r>
          </w:p>
        </w:tc>
        <w:tc>
          <w:tcPr>
            <w:tcW w:type="dxa" w:w="6768"/>
            <w:shd w:fill="F8FAFC"/>
            <w:tcMar>
              <w:top w:w="70" w:type="dxa"/>
              <w:bottom w:w="70" w:type="dxa"/>
              <w:left w:w="90" w:type="dxa"/>
              <w:right w:w="90" w:type="dxa"/>
            </w:tcMar>
          </w:tcPr>
          <w:p>
            <w:pPr>
              <w:jc w:val="center"/>
            </w:pPr>
            <w:r>
              <w:rPr>
                <w:rFonts w:ascii="Calibri" w:hAnsi="Calibri"/>
                <w:color w:val="1F2937"/>
                <w:sz w:val="18"/>
              </w:rPr>
              <w:t>Project Scope</w:t>
            </w:r>
          </w:p>
        </w:tc>
        <w:tc>
          <w:tcPr>
            <w:tcW w:type="dxa" w:w="1440"/>
            <w:shd w:fill="F8FAFC"/>
            <w:tcMar>
              <w:top w:w="70" w:type="dxa"/>
              <w:bottom w:w="70" w:type="dxa"/>
              <w:left w:w="90" w:type="dxa"/>
              <w:right w:w="90" w:type="dxa"/>
            </w:tcMar>
          </w:tcPr>
          <w:p>
            <w:pPr>
              <w:jc w:val="center"/>
            </w:pPr>
            <w:r>
              <w:rPr>
                <w:rFonts w:ascii="Calibri" w:hAnsi="Calibri"/>
                <w:color w:val="1F2937"/>
                <w:sz w:val="18"/>
              </w:rPr>
              <w:t>5</w:t>
            </w:r>
          </w:p>
        </w:tc>
      </w:tr>
      <w:tr>
        <w:tc>
          <w:tcPr>
            <w:tcW w:type="dxa" w:w="1152"/>
            <w:shd w:fill="FFFFFF"/>
            <w:tcMar>
              <w:top w:w="70" w:type="dxa"/>
              <w:bottom w:w="70" w:type="dxa"/>
              <w:left w:w="90" w:type="dxa"/>
              <w:right w:w="90" w:type="dxa"/>
            </w:tcMar>
          </w:tcPr>
          <w:p>
            <w:pPr>
              <w:jc w:val="left"/>
            </w:pPr>
            <w:r>
              <w:rPr>
                <w:rFonts w:ascii="Calibri" w:hAnsi="Calibri"/>
                <w:color w:val="1F2937"/>
                <w:sz w:val="18"/>
              </w:rPr>
              <w:t>5</w:t>
            </w:r>
          </w:p>
        </w:tc>
        <w:tc>
          <w:tcPr>
            <w:tcW w:type="dxa" w:w="6768"/>
            <w:shd w:fill="FFFFFF"/>
            <w:tcMar>
              <w:top w:w="70" w:type="dxa"/>
              <w:bottom w:w="70" w:type="dxa"/>
              <w:left w:w="90" w:type="dxa"/>
              <w:right w:w="90" w:type="dxa"/>
            </w:tcMar>
          </w:tcPr>
          <w:p>
            <w:pPr>
              <w:jc w:val="center"/>
            </w:pPr>
            <w:r>
              <w:rPr>
                <w:rFonts w:ascii="Calibri" w:hAnsi="Calibri"/>
                <w:color w:val="1F2937"/>
                <w:sz w:val="18"/>
              </w:rPr>
              <w:t>Proposed System / Methodology</w:t>
            </w:r>
          </w:p>
        </w:tc>
        <w:tc>
          <w:tcPr>
            <w:tcW w:type="dxa" w:w="1440"/>
            <w:shd w:fill="FFFFFF"/>
            <w:tcMar>
              <w:top w:w="70" w:type="dxa"/>
              <w:bottom w:w="70" w:type="dxa"/>
              <w:left w:w="90" w:type="dxa"/>
              <w:right w:w="90" w:type="dxa"/>
            </w:tcMar>
          </w:tcPr>
          <w:p>
            <w:pPr>
              <w:jc w:val="center"/>
            </w:pPr>
            <w:r>
              <w:rPr>
                <w:rFonts w:ascii="Calibri" w:hAnsi="Calibri"/>
                <w:color w:val="1F2937"/>
                <w:sz w:val="18"/>
              </w:rPr>
              <w:t>6</w:t>
            </w:r>
          </w:p>
        </w:tc>
      </w:tr>
      <w:tr>
        <w:tc>
          <w:tcPr>
            <w:tcW w:type="dxa" w:w="1152"/>
            <w:shd w:fill="F8FAFC"/>
            <w:tcMar>
              <w:top w:w="70" w:type="dxa"/>
              <w:bottom w:w="70" w:type="dxa"/>
              <w:left w:w="90" w:type="dxa"/>
              <w:right w:w="90" w:type="dxa"/>
            </w:tcMar>
          </w:tcPr>
          <w:p>
            <w:pPr>
              <w:jc w:val="left"/>
            </w:pPr>
            <w:r>
              <w:rPr>
                <w:rFonts w:ascii="Calibri" w:hAnsi="Calibri"/>
                <w:color w:val="1F2937"/>
                <w:sz w:val="18"/>
              </w:rPr>
              <w:t>6</w:t>
            </w:r>
          </w:p>
        </w:tc>
        <w:tc>
          <w:tcPr>
            <w:tcW w:type="dxa" w:w="6768"/>
            <w:shd w:fill="F8FAFC"/>
            <w:tcMar>
              <w:top w:w="70" w:type="dxa"/>
              <w:bottom w:w="70" w:type="dxa"/>
              <w:left w:w="90" w:type="dxa"/>
              <w:right w:w="90" w:type="dxa"/>
            </w:tcMar>
          </w:tcPr>
          <w:p>
            <w:pPr>
              <w:jc w:val="center"/>
            </w:pPr>
            <w:r>
              <w:rPr>
                <w:rFonts w:ascii="Calibri" w:hAnsi="Calibri"/>
                <w:color w:val="1F2937"/>
                <w:sz w:val="18"/>
              </w:rPr>
              <w:t>System Architecture / Workflow</w:t>
            </w:r>
          </w:p>
        </w:tc>
        <w:tc>
          <w:tcPr>
            <w:tcW w:type="dxa" w:w="1440"/>
            <w:shd w:fill="F8FAFC"/>
            <w:tcMar>
              <w:top w:w="70" w:type="dxa"/>
              <w:bottom w:w="70" w:type="dxa"/>
              <w:left w:w="90" w:type="dxa"/>
              <w:right w:w="90" w:type="dxa"/>
            </w:tcMar>
          </w:tcPr>
          <w:p>
            <w:pPr>
              <w:jc w:val="center"/>
            </w:pPr>
            <w:r>
              <w:rPr>
                <w:rFonts w:ascii="Calibri" w:hAnsi="Calibri"/>
                <w:color w:val="1F2937"/>
                <w:sz w:val="18"/>
              </w:rPr>
              <w:t>7</w:t>
            </w:r>
          </w:p>
        </w:tc>
      </w:tr>
      <w:tr>
        <w:tc>
          <w:tcPr>
            <w:tcW w:type="dxa" w:w="1152"/>
            <w:shd w:fill="FFFFFF"/>
            <w:tcMar>
              <w:top w:w="70" w:type="dxa"/>
              <w:bottom w:w="70" w:type="dxa"/>
              <w:left w:w="90" w:type="dxa"/>
              <w:right w:w="90" w:type="dxa"/>
            </w:tcMar>
          </w:tcPr>
          <w:p>
            <w:pPr>
              <w:jc w:val="left"/>
            </w:pPr>
            <w:r>
              <w:rPr>
                <w:rFonts w:ascii="Calibri" w:hAnsi="Calibri"/>
                <w:color w:val="1F2937"/>
                <w:sz w:val="18"/>
              </w:rPr>
              <w:t>7</w:t>
            </w:r>
          </w:p>
        </w:tc>
        <w:tc>
          <w:tcPr>
            <w:tcW w:type="dxa" w:w="6768"/>
            <w:shd w:fill="FFFFFF"/>
            <w:tcMar>
              <w:top w:w="70" w:type="dxa"/>
              <w:bottom w:w="70" w:type="dxa"/>
              <w:left w:w="90" w:type="dxa"/>
              <w:right w:w="90" w:type="dxa"/>
            </w:tcMar>
          </w:tcPr>
          <w:p>
            <w:pPr>
              <w:jc w:val="center"/>
            </w:pPr>
            <w:r>
              <w:rPr>
                <w:rFonts w:ascii="Calibri" w:hAnsi="Calibri"/>
                <w:color w:val="1F2937"/>
                <w:sz w:val="18"/>
              </w:rPr>
              <w:t>Implementation</w:t>
            </w:r>
          </w:p>
        </w:tc>
        <w:tc>
          <w:tcPr>
            <w:tcW w:type="dxa" w:w="1440"/>
            <w:shd w:fill="FFFFFF"/>
            <w:tcMar>
              <w:top w:w="70" w:type="dxa"/>
              <w:bottom w:w="70" w:type="dxa"/>
              <w:left w:w="90" w:type="dxa"/>
              <w:right w:w="90" w:type="dxa"/>
            </w:tcMar>
          </w:tcPr>
          <w:p>
            <w:pPr>
              <w:jc w:val="center"/>
            </w:pPr>
            <w:r>
              <w:rPr>
                <w:rFonts w:ascii="Calibri" w:hAnsi="Calibri"/>
                <w:color w:val="1F2937"/>
                <w:sz w:val="18"/>
              </w:rPr>
              <w:t>8</w:t>
            </w:r>
          </w:p>
        </w:tc>
      </w:tr>
      <w:tr>
        <w:tc>
          <w:tcPr>
            <w:tcW w:type="dxa" w:w="1152"/>
            <w:shd w:fill="F8FAFC"/>
            <w:tcMar>
              <w:top w:w="70" w:type="dxa"/>
              <w:bottom w:w="70" w:type="dxa"/>
              <w:left w:w="90" w:type="dxa"/>
              <w:right w:w="90" w:type="dxa"/>
            </w:tcMar>
          </w:tcPr>
          <w:p>
            <w:pPr>
              <w:jc w:val="left"/>
            </w:pPr>
            <w:r>
              <w:rPr>
                <w:rFonts w:ascii="Calibri" w:hAnsi="Calibri"/>
                <w:color w:val="1F2937"/>
                <w:sz w:val="18"/>
              </w:rPr>
              <w:t>8</w:t>
            </w:r>
          </w:p>
        </w:tc>
        <w:tc>
          <w:tcPr>
            <w:tcW w:type="dxa" w:w="6768"/>
            <w:shd w:fill="F8FAFC"/>
            <w:tcMar>
              <w:top w:w="70" w:type="dxa"/>
              <w:bottom w:w="70" w:type="dxa"/>
              <w:left w:w="90" w:type="dxa"/>
              <w:right w:w="90" w:type="dxa"/>
            </w:tcMar>
          </w:tcPr>
          <w:p>
            <w:pPr>
              <w:jc w:val="center"/>
            </w:pPr>
            <w:r>
              <w:rPr>
                <w:rFonts w:ascii="Calibri" w:hAnsi="Calibri"/>
                <w:color w:val="1F2937"/>
                <w:sz w:val="18"/>
              </w:rPr>
              <w:t>User Interface / Application Screenshots</w:t>
            </w:r>
          </w:p>
        </w:tc>
        <w:tc>
          <w:tcPr>
            <w:tcW w:type="dxa" w:w="1440"/>
            <w:shd w:fill="F8FAFC"/>
            <w:tcMar>
              <w:top w:w="70" w:type="dxa"/>
              <w:bottom w:w="70" w:type="dxa"/>
              <w:left w:w="90" w:type="dxa"/>
              <w:right w:w="90" w:type="dxa"/>
            </w:tcMar>
          </w:tcPr>
          <w:p>
            <w:pPr>
              <w:jc w:val="center"/>
            </w:pPr>
            <w:r>
              <w:rPr>
                <w:rFonts w:ascii="Calibri" w:hAnsi="Calibri"/>
                <w:color w:val="1F2937"/>
                <w:sz w:val="18"/>
              </w:rPr>
              <w:t>10</w:t>
            </w:r>
          </w:p>
        </w:tc>
      </w:tr>
      <w:tr>
        <w:tc>
          <w:tcPr>
            <w:tcW w:type="dxa" w:w="1152"/>
            <w:shd w:fill="FFFFFF"/>
            <w:tcMar>
              <w:top w:w="70" w:type="dxa"/>
              <w:bottom w:w="70" w:type="dxa"/>
              <w:left w:w="90" w:type="dxa"/>
              <w:right w:w="90" w:type="dxa"/>
            </w:tcMar>
          </w:tcPr>
          <w:p>
            <w:pPr>
              <w:jc w:val="left"/>
            </w:pPr>
            <w:r>
              <w:rPr>
                <w:rFonts w:ascii="Calibri" w:hAnsi="Calibri"/>
                <w:color w:val="1F2937"/>
                <w:sz w:val="18"/>
              </w:rPr>
              <w:t>9</w:t>
            </w:r>
          </w:p>
        </w:tc>
        <w:tc>
          <w:tcPr>
            <w:tcW w:type="dxa" w:w="6768"/>
            <w:shd w:fill="FFFFFF"/>
            <w:tcMar>
              <w:top w:w="70" w:type="dxa"/>
              <w:bottom w:w="70" w:type="dxa"/>
              <w:left w:w="90" w:type="dxa"/>
              <w:right w:w="90" w:type="dxa"/>
            </w:tcMar>
          </w:tcPr>
          <w:p>
            <w:pPr>
              <w:jc w:val="center"/>
            </w:pPr>
            <w:r>
              <w:rPr>
                <w:rFonts w:ascii="Calibri" w:hAnsi="Calibri"/>
                <w:color w:val="1F2937"/>
                <w:sz w:val="18"/>
              </w:rPr>
              <w:t>Challenges and Limitations</w:t>
            </w:r>
          </w:p>
        </w:tc>
        <w:tc>
          <w:tcPr>
            <w:tcW w:type="dxa" w:w="1440"/>
            <w:shd w:fill="FFFFFF"/>
            <w:tcMar>
              <w:top w:w="70" w:type="dxa"/>
              <w:bottom w:w="70" w:type="dxa"/>
              <w:left w:w="90" w:type="dxa"/>
              <w:right w:w="90" w:type="dxa"/>
            </w:tcMar>
          </w:tcPr>
          <w:p>
            <w:pPr>
              <w:jc w:val="center"/>
            </w:pPr>
            <w:r>
              <w:rPr>
                <w:rFonts w:ascii="Calibri" w:hAnsi="Calibri"/>
                <w:color w:val="1F2937"/>
                <w:sz w:val="18"/>
              </w:rPr>
              <w:t>12</w:t>
            </w:r>
          </w:p>
        </w:tc>
      </w:tr>
      <w:tr>
        <w:tc>
          <w:tcPr>
            <w:tcW w:type="dxa" w:w="1152"/>
            <w:shd w:fill="F8FAFC"/>
            <w:tcMar>
              <w:top w:w="70" w:type="dxa"/>
              <w:bottom w:w="70" w:type="dxa"/>
              <w:left w:w="90" w:type="dxa"/>
              <w:right w:w="90" w:type="dxa"/>
            </w:tcMar>
          </w:tcPr>
          <w:p>
            <w:pPr>
              <w:jc w:val="left"/>
            </w:pPr>
            <w:r>
              <w:rPr>
                <w:rFonts w:ascii="Calibri" w:hAnsi="Calibri"/>
                <w:color w:val="1F2937"/>
                <w:sz w:val="18"/>
              </w:rPr>
              <w:t>10</w:t>
            </w:r>
          </w:p>
        </w:tc>
        <w:tc>
          <w:tcPr>
            <w:tcW w:type="dxa" w:w="6768"/>
            <w:shd w:fill="F8FAFC"/>
            <w:tcMar>
              <w:top w:w="70" w:type="dxa"/>
              <w:bottom w:w="70" w:type="dxa"/>
              <w:left w:w="90" w:type="dxa"/>
              <w:right w:w="90" w:type="dxa"/>
            </w:tcMar>
          </w:tcPr>
          <w:p>
            <w:pPr>
              <w:jc w:val="center"/>
            </w:pPr>
            <w:r>
              <w:rPr>
                <w:rFonts w:ascii="Calibri" w:hAnsi="Calibri"/>
                <w:color w:val="1F2937"/>
                <w:sz w:val="18"/>
              </w:rPr>
              <w:t>Conclusion</w:t>
            </w:r>
          </w:p>
        </w:tc>
        <w:tc>
          <w:tcPr>
            <w:tcW w:type="dxa" w:w="1440"/>
            <w:shd w:fill="F8FAFC"/>
            <w:tcMar>
              <w:top w:w="70" w:type="dxa"/>
              <w:bottom w:w="70" w:type="dxa"/>
              <w:left w:w="90" w:type="dxa"/>
              <w:right w:w="90" w:type="dxa"/>
            </w:tcMar>
          </w:tcPr>
          <w:p>
            <w:pPr>
              <w:jc w:val="center"/>
            </w:pPr>
            <w:r>
              <w:rPr>
                <w:rFonts w:ascii="Calibri" w:hAnsi="Calibri"/>
                <w:color w:val="1F2937"/>
                <w:sz w:val="18"/>
              </w:rPr>
              <w:t>13</w:t>
            </w:r>
          </w:p>
        </w:tc>
      </w:tr>
      <w:tr>
        <w:tc>
          <w:tcPr>
            <w:tcW w:type="dxa" w:w="1152"/>
            <w:shd w:fill="FFFFFF"/>
            <w:tcMar>
              <w:top w:w="70" w:type="dxa"/>
              <w:bottom w:w="70" w:type="dxa"/>
              <w:left w:w="90" w:type="dxa"/>
              <w:right w:w="90" w:type="dxa"/>
            </w:tcMar>
          </w:tcPr>
          <w:p>
            <w:pPr>
              <w:jc w:val="left"/>
            </w:pPr>
            <w:r>
              <w:rPr>
                <w:rFonts w:ascii="Calibri" w:hAnsi="Calibri"/>
                <w:color w:val="1F2937"/>
                <w:sz w:val="18"/>
              </w:rPr>
              <w:t>11</w:t>
            </w:r>
          </w:p>
        </w:tc>
        <w:tc>
          <w:tcPr>
            <w:tcW w:type="dxa" w:w="6768"/>
            <w:shd w:fill="FFFFFF"/>
            <w:tcMar>
              <w:top w:w="70" w:type="dxa"/>
              <w:bottom w:w="70" w:type="dxa"/>
              <w:left w:w="90" w:type="dxa"/>
              <w:right w:w="90" w:type="dxa"/>
            </w:tcMar>
          </w:tcPr>
          <w:p>
            <w:pPr>
              <w:jc w:val="center"/>
            </w:pPr>
            <w:r>
              <w:rPr>
                <w:rFonts w:ascii="Calibri" w:hAnsi="Calibri"/>
                <w:color w:val="1F2937"/>
                <w:sz w:val="18"/>
              </w:rPr>
              <w:t>Future Scope</w:t>
            </w:r>
          </w:p>
        </w:tc>
        <w:tc>
          <w:tcPr>
            <w:tcW w:type="dxa" w:w="1440"/>
            <w:shd w:fill="FFFFFF"/>
            <w:tcMar>
              <w:top w:w="70" w:type="dxa"/>
              <w:bottom w:w="70" w:type="dxa"/>
              <w:left w:w="90" w:type="dxa"/>
              <w:right w:w="90" w:type="dxa"/>
            </w:tcMar>
          </w:tcPr>
          <w:p>
            <w:pPr>
              <w:jc w:val="center"/>
            </w:pPr>
            <w:r>
              <w:rPr>
                <w:rFonts w:ascii="Calibri" w:hAnsi="Calibri"/>
                <w:color w:val="1F2937"/>
                <w:sz w:val="18"/>
              </w:rPr>
              <w:t>14</w:t>
            </w:r>
          </w:p>
        </w:tc>
      </w:tr>
      <w:tr>
        <w:tc>
          <w:tcPr>
            <w:tcW w:type="dxa" w:w="1152"/>
            <w:shd w:fill="F8FAFC"/>
            <w:tcMar>
              <w:top w:w="70" w:type="dxa"/>
              <w:bottom w:w="70" w:type="dxa"/>
              <w:left w:w="90" w:type="dxa"/>
              <w:right w:w="90" w:type="dxa"/>
            </w:tcMar>
          </w:tcPr>
          <w:p>
            <w:pPr>
              <w:jc w:val="left"/>
            </w:pPr>
            <w:r>
              <w:rPr>
                <w:rFonts w:ascii="Calibri" w:hAnsi="Calibri"/>
                <w:color w:val="1F2937"/>
                <w:sz w:val="18"/>
              </w:rPr>
              <w:t>12</w:t>
            </w:r>
          </w:p>
        </w:tc>
        <w:tc>
          <w:tcPr>
            <w:tcW w:type="dxa" w:w="6768"/>
            <w:shd w:fill="F8FAFC"/>
            <w:tcMar>
              <w:top w:w="70" w:type="dxa"/>
              <w:bottom w:w="70" w:type="dxa"/>
              <w:left w:w="90" w:type="dxa"/>
              <w:right w:w="90" w:type="dxa"/>
            </w:tcMar>
          </w:tcPr>
          <w:p>
            <w:pPr>
              <w:jc w:val="center"/>
            </w:pPr>
            <w:r>
              <w:rPr>
                <w:rFonts w:ascii="Calibri" w:hAnsi="Calibri"/>
                <w:color w:val="1F2937"/>
                <w:sz w:val="18"/>
              </w:rPr>
              <w:t>References</w:t>
            </w:r>
          </w:p>
        </w:tc>
        <w:tc>
          <w:tcPr>
            <w:tcW w:type="dxa" w:w="1440"/>
            <w:shd w:fill="F8FAFC"/>
            <w:tcMar>
              <w:top w:w="70" w:type="dxa"/>
              <w:bottom w:w="70" w:type="dxa"/>
              <w:left w:w="90" w:type="dxa"/>
              <w:right w:w="90" w:type="dxa"/>
            </w:tcMar>
          </w:tcPr>
          <w:p>
            <w:pPr>
              <w:jc w:val="center"/>
            </w:pPr>
            <w:r>
              <w:rPr>
                <w:rFonts w:ascii="Calibri" w:hAnsi="Calibri"/>
                <w:color w:val="1F2937"/>
                <w:sz w:val="18"/>
              </w:rPr>
              <w:t>15</w:t>
            </w:r>
          </w:p>
        </w:tc>
      </w:tr>
    </w:tbl>
    <w:p>
      <w:r>
        <w:br w:type="page"/>
      </w:r>
    </w:p>
    <w:p>
      <w:pPr>
        <w:pStyle w:val="Heading1"/>
        <w:keepNext/>
        <w:spacing w:before="280" w:after="80"/>
      </w:pPr>
      <w:r>
        <w:rPr>
          <w:rFonts w:ascii="Calibri" w:hAnsi="Calibri"/>
          <w:b/>
          <w:color w:val="1E3A8A"/>
          <w:sz w:val="34"/>
        </w:rPr>
        <w:t>1. Introduction</w:t>
      </w:r>
    </w:p>
    <w:p>
      <w:pPr>
        <w:spacing w:after="80" w:line="276" w:lineRule="auto"/>
      </w:pPr>
      <w:r>
        <w:rPr>
          <w:rFonts w:ascii="Calibri" w:hAnsi="Calibri"/>
          <w:color w:val="374151"/>
          <w:sz w:val="22"/>
        </w:rPr>
        <w:t>TelcoPulse AI is an enterprise-grade Generative AI (GenAI) application designed to automate, personalize, and optimize customer retention operations for telecommunications service providers.</w:t>
      </w:r>
    </w:p>
    <w:p>
      <w:pPr>
        <w:pStyle w:val="Heading2"/>
        <w:keepNext/>
        <w:spacing w:before="280" w:after="80"/>
      </w:pPr>
      <w:r>
        <w:rPr>
          <w:rFonts w:ascii="Calibri" w:hAnsi="Calibri"/>
          <w:b/>
          <w:color w:val="2563EB"/>
          <w:sz w:val="26"/>
        </w:rPr>
        <w:t>1.1 Application Overview &amp; Real-World Purpose</w:t>
      </w:r>
    </w:p>
    <w:p>
      <w:pPr>
        <w:spacing w:after="80" w:line="276" w:lineRule="auto"/>
      </w:pPr>
      <w:r>
        <w:rPr>
          <w:rFonts w:ascii="Calibri" w:hAnsi="Calibri"/>
          <w:color w:val="374151"/>
          <w:sz w:val="22"/>
        </w:rPr>
        <w:t>In the modern telecommunications industry, subscriber churn results in billions of dollars in lost annual recurring revenue. Retaining an existing subscriber costs 5 to 7 times less than acquiring a new one. However, traditional retention workflows rely on generic, static email templates and inflexible promotional discounts that fail to address the unique frustration points of individual customers. TelcoPulse AI solves this problem by acting as an intelligent Retention Copilot that synthesizes customer account telemetry into bespoke, empathetic win-back communications and frontline agent negotiation playbooks.</w:t>
      </w:r>
    </w:p>
    <w:p>
      <w:pPr>
        <w:pStyle w:val="Heading2"/>
        <w:keepNext/>
        <w:spacing w:before="280" w:after="80"/>
      </w:pPr>
      <w:r>
        <w:rPr>
          <w:rFonts w:ascii="Calibri" w:hAnsi="Calibri"/>
          <w:b/>
          <w:color w:val="2563EB"/>
          <w:sz w:val="26"/>
        </w:rPr>
        <w:t>1.2 Role of Generative AI in the Application</w:t>
      </w:r>
    </w:p>
    <w:p>
      <w:pPr>
        <w:spacing w:after="80" w:line="276" w:lineRule="auto"/>
      </w:pPr>
      <w:r>
        <w:rPr>
          <w:rFonts w:ascii="Calibri" w:hAnsi="Calibri"/>
          <w:color w:val="374151"/>
          <w:sz w:val="22"/>
        </w:rPr>
        <w:t>Generative AI serves as the core intelligence synthesis engine within TelcoPulse AI. Given multidimensional customer telemetry (such as high monthly bills, month-to-month contracts, lack of tech support, or fiber optic service friction), the GenAI model dynamically crafts:</w:t>
      </w:r>
    </w:p>
    <w:p>
      <w:pPr>
        <w:pStyle w:val="ListBullet"/>
        <w:spacing w:after="60" w:line="276" w:lineRule="auto"/>
      </w:pPr>
      <w:r>
        <w:rPr>
          <w:rFonts w:ascii="Calibri" w:hAnsi="Calibri"/>
          <w:b/>
          <w:color w:val="1F2937"/>
          <w:sz w:val="22"/>
        </w:rPr>
        <w:t xml:space="preserve">• Personalized Customer Communications: </w:t>
      </w:r>
      <w:r>
        <w:rPr>
          <w:rFonts w:ascii="Calibri" w:hAnsi="Calibri"/>
          <w:color w:val="374151"/>
          <w:sz w:val="22"/>
        </w:rPr>
        <w:t>High-converting, empathetic customer outreach emails and concise SMS flash alerts customized to the user's specific churn drivers.</w:t>
      </w:r>
    </w:p>
    <w:p>
      <w:pPr>
        <w:pStyle w:val="ListBullet"/>
        <w:spacing w:after="60" w:line="276" w:lineRule="auto"/>
      </w:pPr>
      <w:r>
        <w:rPr>
          <w:rFonts w:ascii="Calibri" w:hAnsi="Calibri"/>
          <w:b/>
          <w:color w:val="1F2937"/>
          <w:sz w:val="22"/>
        </w:rPr>
        <w:t xml:space="preserve">• Real-Time Agent Negotiation Scripts: </w:t>
      </w:r>
      <w:r>
        <w:rPr>
          <w:rFonts w:ascii="Calibri" w:hAnsi="Calibri"/>
          <w:color w:val="374151"/>
          <w:sz w:val="22"/>
        </w:rPr>
        <w:t>Step-by-step objection handling dialogues, opening rapport hooks, and counter-offer scripts for call center agents.</w:t>
      </w:r>
    </w:p>
    <w:p>
      <w:pPr>
        <w:pStyle w:val="ListBullet"/>
        <w:spacing w:after="60" w:line="276" w:lineRule="auto"/>
      </w:pPr>
      <w:r>
        <w:rPr>
          <w:rFonts w:ascii="Calibri" w:hAnsi="Calibri"/>
          <w:b/>
          <w:color w:val="1F2937"/>
          <w:sz w:val="22"/>
        </w:rPr>
        <w:t xml:space="preserve">• Tailored Retention Concession Matrix: </w:t>
      </w:r>
      <w:r>
        <w:rPr>
          <w:rFonts w:ascii="Calibri" w:hAnsi="Calibri"/>
          <w:color w:val="374151"/>
          <w:sz w:val="22"/>
        </w:rPr>
        <w:t>Structured multi-tier concession packages (discounts, value-added add-ons, auto-pay credits) calculated to maximize retention probability while protecting business profit margins.</w:t>
      </w:r>
    </w:p>
    <w:p>
      <w:pPr>
        <w:pStyle w:val="ListBullet"/>
        <w:spacing w:after="60" w:line="276" w:lineRule="auto"/>
      </w:pPr>
      <w:r>
        <w:rPr>
          <w:rFonts w:ascii="Calibri" w:hAnsi="Calibri"/>
          <w:b/>
          <w:color w:val="1F2937"/>
          <w:sz w:val="22"/>
        </w:rPr>
        <w:t xml:space="preserve">• Structured CRM Integration Payloads: </w:t>
      </w:r>
      <w:r>
        <w:rPr>
          <w:rFonts w:ascii="Calibri" w:hAnsi="Calibri"/>
          <w:color w:val="374151"/>
          <w:sz w:val="22"/>
        </w:rPr>
        <w:t>Formatted JSON objects ready for immediate automated CRM dispatch (Salesforce, SAP, Zendesk).</w:t>
      </w:r>
    </w:p>
    <w:p>
      <w:pPr>
        <w:pStyle w:val="Heading2"/>
        <w:keepNext/>
        <w:spacing w:before="280" w:after="80"/>
      </w:pPr>
      <w:r>
        <w:rPr>
          <w:rFonts w:ascii="Calibri" w:hAnsi="Calibri"/>
          <w:b/>
          <w:color w:val="2563EB"/>
          <w:sz w:val="26"/>
        </w:rPr>
        <w:t>1.3 Type of AI-Generated Output Produced</w:t>
      </w:r>
    </w:p>
    <w:p>
      <w:pPr>
        <w:spacing w:after="80" w:line="276" w:lineRule="auto"/>
      </w:pPr>
      <w:r>
        <w:rPr>
          <w:rFonts w:ascii="Calibri" w:hAnsi="Calibri"/>
          <w:color w:val="374151"/>
          <w:sz w:val="22"/>
        </w:rPr>
        <w:t>The system produces multi-modal textual and structured analytical assets, including formatted email copy, SMS alert text, interactive conversation dialogue trees, financial concession tables, and structured JSON configuration payloads.</w:t>
      </w:r>
    </w:p>
    <w:p>
      <w:pPr>
        <w:pStyle w:val="Heading2"/>
        <w:keepNext/>
        <w:spacing w:before="280" w:after="80"/>
      </w:pPr>
      <w:r>
        <w:rPr>
          <w:rFonts w:ascii="Calibri" w:hAnsi="Calibri"/>
          <w:b/>
          <w:color w:val="2563EB"/>
          <w:sz w:val="26"/>
        </w:rPr>
        <w:t>1.4 Key Features of the Application</w:t>
      </w:r>
    </w:p>
    <w:p>
      <w:pPr>
        <w:pStyle w:val="ListBullet"/>
        <w:spacing w:after="60" w:line="276" w:lineRule="auto"/>
      </w:pPr>
      <w:r>
        <w:rPr>
          <w:rFonts w:ascii="Calibri" w:hAnsi="Calibri"/>
          <w:b/>
          <w:color w:val="1F2937"/>
          <w:sz w:val="22"/>
        </w:rPr>
        <w:t xml:space="preserve">1. GenAI Personalized Win-Back Copilot: </w:t>
      </w:r>
      <w:r>
        <w:rPr>
          <w:rFonts w:ascii="Calibri" w:hAnsi="Calibri"/>
          <w:color w:val="374151"/>
          <w:sz w:val="22"/>
        </w:rPr>
        <w:t>Instant generation of customized customer communications based on account tenure, monthly charges, and risk drivers.</w:t>
      </w:r>
    </w:p>
    <w:p>
      <w:pPr>
        <w:pStyle w:val="ListBullet"/>
        <w:spacing w:after="60" w:line="276" w:lineRule="auto"/>
      </w:pPr>
      <w:r>
        <w:rPr>
          <w:rFonts w:ascii="Calibri" w:hAnsi="Calibri"/>
          <w:b/>
          <w:color w:val="1F2937"/>
          <w:sz w:val="22"/>
        </w:rPr>
        <w:t xml:space="preserve">2. Frontline Agent Negotiation Script Generator: </w:t>
      </w:r>
      <w:r>
        <w:rPr>
          <w:rFonts w:ascii="Calibri" w:hAnsi="Calibri"/>
          <w:color w:val="374151"/>
          <w:sz w:val="22"/>
        </w:rPr>
        <w:t>Empowers customer service reps with real-time objection rebuttals and empathetic scripts during live calls.</w:t>
      </w:r>
    </w:p>
    <w:p>
      <w:pPr>
        <w:pStyle w:val="ListBullet"/>
        <w:spacing w:after="60" w:line="276" w:lineRule="auto"/>
      </w:pPr>
      <w:r>
        <w:rPr>
          <w:rFonts w:ascii="Calibri" w:hAnsi="Calibri"/>
          <w:b/>
          <w:color w:val="1F2937"/>
          <w:sz w:val="22"/>
        </w:rPr>
        <w:t xml:space="preserve">3. Concession &amp; Incentive Hierarchy: </w:t>
      </w:r>
      <w:r>
        <w:rPr>
          <w:rFonts w:ascii="Calibri" w:hAnsi="Calibri"/>
          <w:color w:val="374151"/>
          <w:sz w:val="22"/>
        </w:rPr>
        <w:t>Recommends four progressive concession tiers (rate discounts, tech support bundles, contract extensions, auto-pay credits).</w:t>
      </w:r>
    </w:p>
    <w:p>
      <w:pPr>
        <w:pStyle w:val="ListBullet"/>
        <w:spacing w:after="60" w:line="276" w:lineRule="auto"/>
      </w:pPr>
      <w:r>
        <w:rPr>
          <w:rFonts w:ascii="Calibri" w:hAnsi="Calibri"/>
          <w:b/>
          <w:color w:val="1F2937"/>
          <w:sz w:val="22"/>
        </w:rPr>
        <w:t xml:space="preserve">4. Hybrid Predictive + Generative AI Architecture: </w:t>
      </w:r>
      <w:r>
        <w:rPr>
          <w:rFonts w:ascii="Calibri" w:hAnsi="Calibri"/>
          <w:color w:val="374151"/>
          <w:sz w:val="22"/>
        </w:rPr>
        <w:t>Combines supervised ML churn risk scoring (&lt;30% Safe, 30-60% Moderate, &gt;60% Critical) with GenAI text synthesis.</w:t>
      </w:r>
    </w:p>
    <w:p>
      <w:pPr>
        <w:pStyle w:val="ListBullet"/>
        <w:spacing w:after="60" w:line="276" w:lineRule="auto"/>
      </w:pPr>
      <w:r>
        <w:rPr>
          <w:rFonts w:ascii="Calibri" w:hAnsi="Calibri"/>
          <w:b/>
          <w:color w:val="1F2937"/>
          <w:sz w:val="22"/>
        </w:rPr>
        <w:t xml:space="preserve">5. What-If Strategy Simulator &amp; CRM Dispatch: </w:t>
      </w:r>
      <w:r>
        <w:rPr>
          <w:rFonts w:ascii="Calibri" w:hAnsi="Calibri"/>
          <w:color w:val="374151"/>
          <w:sz w:val="22"/>
        </w:rPr>
        <w:t>Interactive sandbox to simulate discount and contract changes with real-time churn reduction calculations.</w:t>
      </w:r>
    </w:p>
    <w:p>
      <w:pPr>
        <w:pStyle w:val="Heading1"/>
        <w:keepNext/>
        <w:spacing w:before="280" w:after="80"/>
      </w:pPr>
      <w:r>
        <w:rPr>
          <w:rFonts w:ascii="Calibri" w:hAnsi="Calibri"/>
          <w:b/>
          <w:color w:val="1E3A8A"/>
          <w:sz w:val="34"/>
        </w:rPr>
        <w:t>2. Problem Statement</w:t>
      </w:r>
    </w:p>
    <w:p>
      <w:pPr>
        <w:pStyle w:val="Heading2"/>
        <w:keepNext/>
        <w:spacing w:before="280" w:after="80"/>
      </w:pPr>
      <w:r>
        <w:rPr>
          <w:rFonts w:ascii="Calibri" w:hAnsi="Calibri"/>
          <w:b/>
          <w:color w:val="2563EB"/>
          <w:sz w:val="26"/>
        </w:rPr>
        <w:t>2.1 Real-World Problem Identified</w:t>
      </w:r>
    </w:p>
    <w:p>
      <w:pPr>
        <w:spacing w:after="80" w:line="276" w:lineRule="auto"/>
      </w:pPr>
      <w:r>
        <w:rPr>
          <w:rFonts w:ascii="Calibri" w:hAnsi="Calibri"/>
          <w:color w:val="374151"/>
          <w:sz w:val="22"/>
        </w:rPr>
        <w:t>Telecommunication providers face an average annual customer churn rate of 20% to 30%. Frontline retention teams currently struggle with three severe bottlenecks:</w:t>
      </w:r>
    </w:p>
    <w:p>
      <w:pPr>
        <w:pStyle w:val="ListBullet"/>
        <w:spacing w:after="60" w:line="276" w:lineRule="auto"/>
      </w:pPr>
      <w:r>
        <w:rPr>
          <w:rFonts w:ascii="Calibri" w:hAnsi="Calibri"/>
          <w:b/>
          <w:color w:val="1F2937"/>
          <w:sz w:val="22"/>
        </w:rPr>
        <w:t xml:space="preserve">1. Blanket Discount Inefficiencies: </w:t>
      </w:r>
      <w:r>
        <w:rPr>
          <w:rFonts w:ascii="Calibri" w:hAnsi="Calibri"/>
          <w:color w:val="374151"/>
          <w:sz w:val="22"/>
        </w:rPr>
        <w:t>Marketing teams send broad, identical discount emails to all departing subscribers, eroding profit margins on customers who would have stayed while failing to convince high-value dissatisfied customers.</w:t>
      </w:r>
    </w:p>
    <w:p>
      <w:pPr>
        <w:pStyle w:val="ListBullet"/>
        <w:spacing w:after="60" w:line="276" w:lineRule="auto"/>
      </w:pPr>
      <w:r>
        <w:rPr>
          <w:rFonts w:ascii="Calibri" w:hAnsi="Calibri"/>
          <w:b/>
          <w:color w:val="1F2937"/>
          <w:sz w:val="22"/>
        </w:rPr>
        <w:t xml:space="preserve">2. Lack of Real-Time Agent Guidance: </w:t>
      </w:r>
      <w:r>
        <w:rPr>
          <w:rFonts w:ascii="Calibri" w:hAnsi="Calibri"/>
          <w:color w:val="374151"/>
          <w:sz w:val="22"/>
        </w:rPr>
        <w:t>Customer service representatives must manually devise counter-offers during live calls without structured negotiation guidance, leading to inconsistent customer experiences and lost retention opportunities.</w:t>
      </w:r>
    </w:p>
    <w:p>
      <w:pPr>
        <w:pStyle w:val="ListBullet"/>
        <w:spacing w:after="60" w:line="276" w:lineRule="auto"/>
      </w:pPr>
      <w:r>
        <w:rPr>
          <w:rFonts w:ascii="Calibri" w:hAnsi="Calibri"/>
          <w:b/>
          <w:color w:val="1F2937"/>
          <w:sz w:val="22"/>
        </w:rPr>
        <w:t xml:space="preserve">3. High Latency &amp; Manual Copywriting Bottlenecks: </w:t>
      </w:r>
      <w:r>
        <w:rPr>
          <w:rFonts w:ascii="Calibri" w:hAnsi="Calibri"/>
          <w:color w:val="374151"/>
          <w:sz w:val="22"/>
        </w:rPr>
        <w:t>Drafting tailored enterprise win-back communications currently takes marketing copywriters hours or days, causing service providers to miss the narrow time window when at-risk customers can still be saved.</w:t>
      </w:r>
    </w:p>
    <w:p>
      <w:pPr>
        <w:pStyle w:val="Heading2"/>
        <w:keepNext/>
        <w:spacing w:before="280" w:after="80"/>
      </w:pPr>
      <w:r>
        <w:rPr>
          <w:rFonts w:ascii="Calibri" w:hAnsi="Calibri"/>
          <w:b/>
          <w:color w:val="2563EB"/>
          <w:sz w:val="26"/>
        </w:rPr>
        <w:t>2.2 Why Generative AI Fixes This Better Than Existing Approaches</w:t>
      </w:r>
    </w:p>
    <w:p>
      <w:pPr>
        <w:spacing w:after="80" w:line="276" w:lineRule="auto"/>
      </w:pPr>
      <w:r>
        <w:rPr>
          <w:rFonts w:ascii="Calibri" w:hAnsi="Calibri"/>
          <w:color w:val="374151"/>
          <w:sz w:val="22"/>
        </w:rPr>
        <w:t>Rule-based templates are rigid and cannot naturally harmonize 20+ customer variables (e.g., tenure length, fiber optic pricing, electronic check payment friction, absence of security add-ons) into a compelling, human-sounding message. Generative AI excels at contextual natural language synthesis—understanding the subtle emotional tone, value propositions, and psychological framing needed to turn an unhappy customer into a loyal subscriber.</w:t>
      </w:r>
    </w:p>
    <w:p>
      <w:pPr>
        <w:pStyle w:val="Heading2"/>
        <w:keepNext/>
        <w:spacing w:before="280" w:after="80"/>
      </w:pPr>
      <w:r>
        <w:rPr>
          <w:rFonts w:ascii="Calibri" w:hAnsi="Calibri"/>
          <w:b/>
          <w:color w:val="2563EB"/>
          <w:sz w:val="26"/>
        </w:rPr>
        <w:t>2.3 Concrete Improvements &amp; Expected Outcomes</w:t>
      </w:r>
    </w:p>
    <w:p>
      <w:pPr>
        <w:pStyle w:val="ListBullet"/>
        <w:spacing w:after="60" w:line="276" w:lineRule="auto"/>
      </w:pPr>
      <w:r>
        <w:rPr>
          <w:rFonts w:ascii="Calibri" w:hAnsi="Calibri"/>
          <w:b/>
          <w:color w:val="1F2937"/>
          <w:sz w:val="22"/>
        </w:rPr>
        <w:t xml:space="preserve">• 99% Time Reduction: </w:t>
      </w:r>
      <w:r>
        <w:rPr>
          <w:rFonts w:ascii="Calibri" w:hAnsi="Calibri"/>
          <w:color w:val="374151"/>
          <w:sz w:val="22"/>
        </w:rPr>
        <w:t>Generating tailored email and script assets is reduced from 45 minutes of manual agent work to under 1 second.</w:t>
      </w:r>
    </w:p>
    <w:p>
      <w:pPr>
        <w:pStyle w:val="ListBullet"/>
        <w:spacing w:after="60" w:line="276" w:lineRule="auto"/>
      </w:pPr>
      <w:r>
        <w:rPr>
          <w:rFonts w:ascii="Calibri" w:hAnsi="Calibri"/>
          <w:b/>
          <w:color w:val="1F2937"/>
          <w:sz w:val="22"/>
        </w:rPr>
        <w:t xml:space="preserve">• 3x Higher Engagement: </w:t>
      </w:r>
      <w:r>
        <w:rPr>
          <w:rFonts w:ascii="Calibri" w:hAnsi="Calibri"/>
          <w:color w:val="374151"/>
          <w:sz w:val="22"/>
        </w:rPr>
        <w:t>Personalized, empathetic copywriting addressing specific pain points achieves over 3x higher click-through and engagement rates compared to generic emails.</w:t>
      </w:r>
    </w:p>
    <w:p>
      <w:pPr>
        <w:pStyle w:val="ListBullet"/>
        <w:spacing w:after="60" w:line="276" w:lineRule="auto"/>
      </w:pPr>
      <w:r>
        <w:rPr>
          <w:rFonts w:ascii="Calibri" w:hAnsi="Calibri"/>
          <w:b/>
          <w:color w:val="1F2937"/>
          <w:sz w:val="22"/>
        </w:rPr>
        <w:t xml:space="preserve">• Preserved Profit Margins: </w:t>
      </w:r>
      <w:r>
        <w:rPr>
          <w:rFonts w:ascii="Calibri" w:hAnsi="Calibri"/>
          <w:color w:val="374151"/>
          <w:sz w:val="22"/>
        </w:rPr>
        <w:t>Structured tier-based incentives prevent over-discounting, saving hundreds of thousands of dollars in unnecessary promotional expense.</w:t>
      </w:r>
    </w:p>
    <w:p>
      <w:pPr>
        <w:pStyle w:val="Heading1"/>
        <w:keepNext/>
        <w:spacing w:before="280" w:after="80"/>
      </w:pPr>
      <w:r>
        <w:rPr>
          <w:rFonts w:ascii="Calibri" w:hAnsi="Calibri"/>
          <w:b/>
          <w:color w:val="1E3A8A"/>
          <w:sz w:val="34"/>
        </w:rPr>
        <w:t>3. Objectives</w:t>
      </w:r>
    </w:p>
    <w:p>
      <w:pPr>
        <w:spacing w:after="80" w:line="276" w:lineRule="auto"/>
      </w:pPr>
      <w:r>
        <w:rPr>
          <w:rFonts w:ascii="Calibri" w:hAnsi="Calibri"/>
          <w:color w:val="374151"/>
          <w:sz w:val="22"/>
        </w:rPr>
        <w:t>The key objectives of this project are systematically defined as follows:</w:t>
      </w:r>
    </w:p>
    <w:p>
      <w:pPr>
        <w:pStyle w:val="ListBullet"/>
        <w:spacing w:after="60" w:line="276" w:lineRule="auto"/>
      </w:pPr>
      <w:r>
        <w:rPr>
          <w:rFonts w:ascii="Calibri" w:hAnsi="Calibri"/>
          <w:b/>
          <w:color w:val="1F2937"/>
          <w:sz w:val="22"/>
        </w:rPr>
        <w:t xml:space="preserve">1. Develop Deployable GenAI App: </w:t>
      </w:r>
      <w:r>
        <w:rPr>
          <w:rFonts w:ascii="Calibri" w:hAnsi="Calibri"/>
          <w:color w:val="374151"/>
          <w:sz w:val="22"/>
        </w:rPr>
        <w:t>Develop a fully functional, cloud-deployable Generative AI application (TelcoPulse AI) tailored for telecom customer retention.</w:t>
      </w:r>
    </w:p>
    <w:p>
      <w:pPr>
        <w:pStyle w:val="ListBullet"/>
        <w:spacing w:after="60" w:line="276" w:lineRule="auto"/>
      </w:pPr>
      <w:r>
        <w:rPr>
          <w:rFonts w:ascii="Calibri" w:hAnsi="Calibri"/>
          <w:b/>
          <w:color w:val="1F2937"/>
          <w:sz w:val="22"/>
        </w:rPr>
        <w:t xml:space="preserve">2. Model &amp; API Selection: </w:t>
      </w:r>
      <w:r>
        <w:rPr>
          <w:rFonts w:ascii="Calibri" w:hAnsi="Calibri"/>
          <w:color w:val="374151"/>
          <w:sz w:val="22"/>
        </w:rPr>
        <w:t>Integrate advanced Large Language Model (LLM) APIs (Google Gemini / Generative AI Engine) suited for structured business copywriting.</w:t>
      </w:r>
    </w:p>
    <w:p>
      <w:pPr>
        <w:pStyle w:val="ListBullet"/>
        <w:spacing w:after="60" w:line="276" w:lineRule="auto"/>
      </w:pPr>
      <w:r>
        <w:rPr>
          <w:rFonts w:ascii="Calibri" w:hAnsi="Calibri"/>
          <w:b/>
          <w:color w:val="1F2937"/>
          <w:sz w:val="22"/>
        </w:rPr>
        <w:t xml:space="preserve">3. Robust Prompt Engineering: </w:t>
      </w:r>
      <w:r>
        <w:rPr>
          <w:rFonts w:ascii="Calibri" w:hAnsi="Calibri"/>
          <w:color w:val="374151"/>
          <w:sz w:val="22"/>
        </w:rPr>
        <w:t>Design structured few-shot prompt templates incorporating customer risk telemetry, persona voice, and CRM constraints.</w:t>
      </w:r>
    </w:p>
    <w:p>
      <w:pPr>
        <w:pStyle w:val="ListBullet"/>
        <w:spacing w:after="60" w:line="276" w:lineRule="auto"/>
      </w:pPr>
      <w:r>
        <w:rPr>
          <w:rFonts w:ascii="Calibri" w:hAnsi="Calibri"/>
          <w:b/>
          <w:color w:val="1F2937"/>
          <w:sz w:val="22"/>
        </w:rPr>
        <w:t xml:space="preserve">4. Interactive User Interface: </w:t>
      </w:r>
      <w:r>
        <w:rPr>
          <w:rFonts w:ascii="Calibri" w:hAnsi="Calibri"/>
          <w:color w:val="374151"/>
          <w:sz w:val="22"/>
        </w:rPr>
        <w:t>Build an intuitive, responsive web user interface using Streamlit with 1-click campaign generation, copy tools, and CRM JSON exports.</w:t>
      </w:r>
    </w:p>
    <w:p>
      <w:pPr>
        <w:pStyle w:val="ListBullet"/>
        <w:spacing w:after="60" w:line="276" w:lineRule="auto"/>
      </w:pPr>
      <w:r>
        <w:rPr>
          <w:rFonts w:ascii="Calibri" w:hAnsi="Calibri"/>
          <w:b/>
          <w:color w:val="1F2937"/>
          <w:sz w:val="22"/>
        </w:rPr>
        <w:t xml:space="preserve">5. Quality &amp; Practicality Evaluation: </w:t>
      </w:r>
      <w:r>
        <w:rPr>
          <w:rFonts w:ascii="Calibri" w:hAnsi="Calibri"/>
          <w:color w:val="374151"/>
          <w:sz w:val="22"/>
        </w:rPr>
        <w:t>Evaluate the coherence, relevance, and commercial feasibility of the AI-generated retention assets across diverse subscriber risk profiles.</w:t>
      </w:r>
    </w:p>
    <w:p>
      <w:r>
        <w:br w:type="page"/>
      </w:r>
    </w:p>
    <w:p>
      <w:pPr>
        <w:pStyle w:val="Heading1"/>
        <w:keepNext/>
        <w:spacing w:before="280" w:after="80"/>
      </w:pPr>
      <w:r>
        <w:rPr>
          <w:rFonts w:ascii="Calibri" w:hAnsi="Calibri"/>
          <w:b/>
          <w:color w:val="1E3A8A"/>
          <w:sz w:val="34"/>
        </w:rPr>
        <w:t>4. Project Scope</w:t>
      </w:r>
    </w:p>
    <w:p>
      <w:pPr>
        <w:spacing w:after="80" w:line="276" w:lineRule="auto"/>
      </w:pPr>
      <w:r>
        <w:rPr>
          <w:rFonts w:ascii="Calibri" w:hAnsi="Calibri"/>
          <w:color w:val="374151"/>
          <w:sz w:val="22"/>
        </w:rPr>
        <w:t>The scope and operational boundaries of the TelcoPulse GenAI platform comprise:</w:t>
      </w:r>
    </w:p>
    <w:p>
      <w:pPr>
        <w:pStyle w:val="ListBullet"/>
        <w:spacing w:after="60" w:line="276" w:lineRule="auto"/>
      </w:pPr>
      <w:r>
        <w:rPr>
          <w:rFonts w:ascii="Calibri" w:hAnsi="Calibri"/>
          <w:b/>
          <w:color w:val="1F2937"/>
          <w:sz w:val="22"/>
        </w:rPr>
        <w:t xml:space="preserve">• Target Users: </w:t>
      </w:r>
      <w:r>
        <w:rPr>
          <w:rFonts w:ascii="Calibri" w:hAnsi="Calibri"/>
          <w:color w:val="374151"/>
          <w:sz w:val="22"/>
        </w:rPr>
        <w:t>Telecom Retention Specialists, Frontline Call Center Agents, Digital Marketing Campaign Managers, and Customer Success Executives.</w:t>
      </w:r>
    </w:p>
    <w:p>
      <w:pPr>
        <w:pStyle w:val="ListBullet"/>
        <w:spacing w:after="60" w:line="276" w:lineRule="auto"/>
      </w:pPr>
      <w:r>
        <w:rPr>
          <w:rFonts w:ascii="Calibri" w:hAnsi="Calibri"/>
          <w:b/>
          <w:color w:val="1F2937"/>
          <w:sz w:val="22"/>
        </w:rPr>
        <w:t xml:space="preserve">• GenAI-Powered Features: </w:t>
      </w:r>
      <w:r>
        <w:rPr>
          <w:rFonts w:ascii="Calibri" w:hAnsi="Calibri"/>
          <w:color w:val="374151"/>
          <w:sz w:val="22"/>
        </w:rPr>
        <w:t>Personalized Win-Back Email Generator, SMS Alert Copywriter, Agent Negotiation &amp; Objection Handling Scriptwriter, Concession Matrix Recommender, and CRM Payload Serializer.</w:t>
      </w:r>
    </w:p>
    <w:p>
      <w:pPr>
        <w:pStyle w:val="ListBullet"/>
        <w:spacing w:after="60" w:line="276" w:lineRule="auto"/>
      </w:pPr>
      <w:r>
        <w:rPr>
          <w:rFonts w:ascii="Calibri" w:hAnsi="Calibri"/>
          <w:b/>
          <w:color w:val="1F2937"/>
          <w:sz w:val="22"/>
        </w:rPr>
        <w:t xml:space="preserve">• Input Specifications: </w:t>
      </w:r>
      <w:r>
        <w:rPr>
          <w:rFonts w:ascii="Calibri" w:hAnsi="Calibri"/>
          <w:color w:val="374151"/>
          <w:sz w:val="22"/>
        </w:rPr>
        <w:t>Customer demographic telemetry, subscription details (contract, internet, tech support, billing method), monthly charges, predictive risk tiers, persona tone, and campaign goals.</w:t>
      </w:r>
    </w:p>
    <w:p>
      <w:pPr>
        <w:pStyle w:val="ListBullet"/>
        <w:spacing w:after="60" w:line="276" w:lineRule="auto"/>
      </w:pPr>
      <w:r>
        <w:rPr>
          <w:rFonts w:ascii="Calibri" w:hAnsi="Calibri"/>
          <w:b/>
          <w:color w:val="1F2937"/>
          <w:sz w:val="22"/>
        </w:rPr>
        <w:t xml:space="preserve">• Output Specifications: </w:t>
      </w:r>
      <w:r>
        <w:rPr>
          <w:rFonts w:ascii="Calibri" w:hAnsi="Calibri"/>
          <w:color w:val="374151"/>
          <w:sz w:val="22"/>
        </w:rPr>
        <w:t>Formatted markdown emails, character-limited SMS copy, dialogue trees, structured markdown comparison tables, and machine-readable JSON payloads.</w:t>
      </w:r>
    </w:p>
    <w:p>
      <w:pPr>
        <w:pStyle w:val="ListBullet"/>
        <w:spacing w:after="60" w:line="276" w:lineRule="auto"/>
      </w:pPr>
      <w:r>
        <w:rPr>
          <w:rFonts w:ascii="Calibri" w:hAnsi="Calibri"/>
          <w:b/>
          <w:color w:val="1F2937"/>
          <w:sz w:val="22"/>
        </w:rPr>
        <w:t xml:space="preserve">• Project Boundaries &amp; Limitations: </w:t>
      </w:r>
      <w:r>
        <w:rPr>
          <w:rFonts w:ascii="Calibri" w:hAnsi="Calibri"/>
          <w:color w:val="374151"/>
          <w:sz w:val="22"/>
        </w:rPr>
        <w:t>Current build operates on English-language communications and residential telecom account models; does not execute direct automated telephony voice calls.</w:t>
      </w:r>
    </w:p>
    <w:p>
      <w:pPr>
        <w:pStyle w:val="Heading1"/>
        <w:keepNext/>
        <w:spacing w:before="280" w:after="80"/>
      </w:pPr>
      <w:r>
        <w:rPr>
          <w:rFonts w:ascii="Calibri" w:hAnsi="Calibri"/>
          <w:b/>
          <w:color w:val="1E3A8A"/>
          <w:sz w:val="34"/>
        </w:rPr>
        <w:t>5. Proposed System / Methodology</w:t>
      </w:r>
    </w:p>
    <w:p>
      <w:pPr>
        <w:spacing w:after="80" w:line="276" w:lineRule="auto"/>
      </w:pPr>
      <w:r>
        <w:rPr>
          <w:rFonts w:ascii="Calibri" w:hAnsi="Calibri"/>
          <w:color w:val="374151"/>
          <w:sz w:val="22"/>
        </w:rPr>
        <w:t>The TelcoPulse GenAI platform operates via an end-to-end multi-stage pipeline designed for low-latency, context-rich generative synthesis: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12" w:space="0" w:color="CBD5E1"/>
              <w:left w:val="single" w:sz="24" w:space="0" w:color="1E3A8A"/>
              <w:bottom w:val="single" w:sz="12" w:space="0" w:color="CBD5E1"/>
              <w:right w:val="single" w:sz="12" w:space="0" w:color="CBD5E1"/>
            </w:tcBorders>
          </w:tcPr>
          <w:p>
            <w:pPr>
              <w:spacing w:after="0"/>
              <w:jc w:val="center"/>
            </w:pPr>
            <w:r>
              <w:rPr>
                <w:rFonts w:ascii="Calibri" w:hAnsi="Calibri"/>
                <w:b/>
                <w:color w:val="1E3A8A"/>
                <w:sz w:val="20"/>
              </w:rPr>
              <w:t>Subscriber Context Ingestion  ➔  Predictive Risk &amp; Driver Telemetry  ➔  Dynamic Prompt Template Construction  ➔  Generative AI / LLM Inference Layer  ➔  Multi-Channel Output Parsing &amp; Formatting  ➔  Interactive UI &amp; CRM Synchronization</w:t>
            </w:r>
          </w:p>
        </w:tc>
      </w:tr>
    </w:tbl>
    <w:p>
      <w:pPr>
        <w:spacing w:after="60"/>
      </w:pPr>
    </w:p>
    <w:tbl>
      <w:tblPr>
        <w:tblW w:type="auto" w:w="0"/>
        <w:jc w:val="center"/>
        <w:tblLook w:firstColumn="1" w:firstRow="1" w:lastColumn="0" w:lastRow="0" w:noHBand="0" w:noVBand="1" w:val="04A0"/>
      </w:tblPr>
      <w:tblGrid>
        <w:gridCol w:w="4680"/>
        <w:gridCol w:w="4680"/>
      </w:tblGrid>
      <w:tr>
        <w:tc>
          <w:tcPr>
            <w:tcW w:type="dxa" w:w="3168"/>
            <w:shd w:fill="1E3A8A"/>
            <w:tcMar>
              <w:top w:w="100" w:type="dxa"/>
              <w:bottom w:w="100" w:type="dxa"/>
              <w:left w:w="100" w:type="dxa"/>
              <w:right w:w="100" w:type="dxa"/>
            </w:tcMar>
          </w:tcPr>
          <w:p>
            <w:pPr>
              <w:jc w:val="center"/>
            </w:pPr>
            <w:r>
              <w:rPr>
                <w:rFonts w:ascii="Calibri" w:hAnsi="Calibri"/>
                <w:b/>
                <w:color w:val="FFFFFF"/>
                <w:sz w:val="19"/>
              </w:rPr>
              <w:t>Methodology Phase</w:t>
            </w:r>
          </w:p>
        </w:tc>
        <w:tc>
          <w:tcPr>
            <w:tcW w:type="dxa" w:w="6480"/>
            <w:shd w:fill="1E3A8A"/>
            <w:tcMar>
              <w:top w:w="100" w:type="dxa"/>
              <w:bottom w:w="100" w:type="dxa"/>
              <w:left w:w="100" w:type="dxa"/>
              <w:right w:w="100" w:type="dxa"/>
            </w:tcMar>
          </w:tcPr>
          <w:p>
            <w:pPr>
              <w:jc w:val="center"/>
            </w:pPr>
            <w:r>
              <w:rPr>
                <w:rFonts w:ascii="Calibri" w:hAnsi="Calibri"/>
                <w:b/>
                <w:color w:val="FFFFFF"/>
                <w:sz w:val="19"/>
              </w:rPr>
              <w:t>Key Operational Activities &amp; Outcomes</w:t>
            </w:r>
          </w:p>
        </w:tc>
      </w:tr>
      <w:tr>
        <w:tc>
          <w:tcPr>
            <w:tcW w:type="dxa" w:w="3168"/>
            <w:shd w:fill="FFFFFF"/>
            <w:tcMar>
              <w:top w:w="70" w:type="dxa"/>
              <w:bottom w:w="70" w:type="dxa"/>
              <w:left w:w="90" w:type="dxa"/>
              <w:right w:w="90" w:type="dxa"/>
            </w:tcMar>
          </w:tcPr>
          <w:p>
            <w:pPr>
              <w:jc w:val="left"/>
            </w:pPr>
            <w:r>
              <w:rPr>
                <w:rFonts w:ascii="Calibri" w:hAnsi="Calibri"/>
                <w:color w:val="1F2937"/>
                <w:sz w:val="18"/>
              </w:rPr>
              <w:t>Stage 1: Context Ingestion</w:t>
            </w:r>
          </w:p>
        </w:tc>
        <w:tc>
          <w:tcPr>
            <w:tcW w:type="dxa" w:w="6480"/>
            <w:shd w:fill="FFFFFF"/>
            <w:tcMar>
              <w:top w:w="70" w:type="dxa"/>
              <w:bottom w:w="70" w:type="dxa"/>
              <w:left w:w="90" w:type="dxa"/>
              <w:right w:w="90" w:type="dxa"/>
            </w:tcMar>
          </w:tcPr>
          <w:p>
            <w:pPr>
              <w:jc w:val="center"/>
            </w:pPr>
            <w:r>
              <w:rPr>
                <w:rFonts w:ascii="Calibri" w:hAnsi="Calibri"/>
                <w:color w:val="1F2937"/>
                <w:sz w:val="18"/>
              </w:rPr>
              <w:t>Agent selects or inputs customer parameters (Tenure, Contract, Monthly Charges, Internet Type, Add-ons).</w:t>
            </w:r>
          </w:p>
        </w:tc>
      </w:tr>
      <w:tr>
        <w:tc>
          <w:tcPr>
            <w:tcW w:type="dxa" w:w="3168"/>
            <w:shd w:fill="F8FAFC"/>
            <w:tcMar>
              <w:top w:w="70" w:type="dxa"/>
              <w:bottom w:w="70" w:type="dxa"/>
              <w:left w:w="90" w:type="dxa"/>
              <w:right w:w="90" w:type="dxa"/>
            </w:tcMar>
          </w:tcPr>
          <w:p>
            <w:pPr>
              <w:jc w:val="left"/>
            </w:pPr>
            <w:r>
              <w:rPr>
                <w:rFonts w:ascii="Calibri" w:hAnsi="Calibri"/>
                <w:color w:val="1F2937"/>
                <w:sz w:val="18"/>
              </w:rPr>
              <w:t>Stage 2: Telemetry Extraction</w:t>
            </w:r>
          </w:p>
        </w:tc>
        <w:tc>
          <w:tcPr>
            <w:tcW w:type="dxa" w:w="6480"/>
            <w:shd w:fill="F8FAFC"/>
            <w:tcMar>
              <w:top w:w="70" w:type="dxa"/>
              <w:bottom w:w="70" w:type="dxa"/>
              <w:left w:w="90" w:type="dxa"/>
              <w:right w:w="90" w:type="dxa"/>
            </w:tcMar>
          </w:tcPr>
          <w:p>
            <w:pPr>
              <w:jc w:val="center"/>
            </w:pPr>
            <w:r>
              <w:rPr>
                <w:rFonts w:ascii="Calibri" w:hAnsi="Calibri"/>
                <w:color w:val="1F2937"/>
                <w:sz w:val="18"/>
              </w:rPr>
              <w:t>Predictive ML classification identifies churn probability (%) and extracts top hazard drivers (e.g., Month-to-Month, Fiber Optic, No Tech Support).</w:t>
            </w:r>
          </w:p>
        </w:tc>
      </w:tr>
      <w:tr>
        <w:tc>
          <w:tcPr>
            <w:tcW w:type="dxa" w:w="3168"/>
            <w:shd w:fill="FFFFFF"/>
            <w:tcMar>
              <w:top w:w="70" w:type="dxa"/>
              <w:bottom w:w="70" w:type="dxa"/>
              <w:left w:w="90" w:type="dxa"/>
              <w:right w:w="90" w:type="dxa"/>
            </w:tcMar>
          </w:tcPr>
          <w:p>
            <w:pPr>
              <w:jc w:val="left"/>
            </w:pPr>
            <w:r>
              <w:rPr>
                <w:rFonts w:ascii="Calibri" w:hAnsi="Calibri"/>
                <w:color w:val="1F2937"/>
                <w:sz w:val="18"/>
              </w:rPr>
              <w:t>Stage 3: Prompt Construction</w:t>
            </w:r>
          </w:p>
        </w:tc>
        <w:tc>
          <w:tcPr>
            <w:tcW w:type="dxa" w:w="6480"/>
            <w:shd w:fill="FFFFFF"/>
            <w:tcMar>
              <w:top w:w="70" w:type="dxa"/>
              <w:bottom w:w="70" w:type="dxa"/>
              <w:left w:w="90" w:type="dxa"/>
              <w:right w:w="90" w:type="dxa"/>
            </w:tcMar>
          </w:tcPr>
          <w:p>
            <w:pPr>
              <w:jc w:val="center"/>
            </w:pPr>
            <w:r>
              <w:rPr>
                <w:rFonts w:ascii="Calibri" w:hAnsi="Calibri"/>
                <w:color w:val="1F2937"/>
                <w:sz w:val="18"/>
              </w:rPr>
              <w:t>A parameter-bound Few-Shot Prompt Template is assembled, embedding system persona, subscriber context, business concession rules, and target channel constraints.</w:t>
            </w:r>
          </w:p>
        </w:tc>
      </w:tr>
      <w:tr>
        <w:tc>
          <w:tcPr>
            <w:tcW w:type="dxa" w:w="3168"/>
            <w:shd w:fill="F8FAFC"/>
            <w:tcMar>
              <w:top w:w="70" w:type="dxa"/>
              <w:bottom w:w="70" w:type="dxa"/>
              <w:left w:w="90" w:type="dxa"/>
              <w:right w:w="90" w:type="dxa"/>
            </w:tcMar>
          </w:tcPr>
          <w:p>
            <w:pPr>
              <w:jc w:val="left"/>
            </w:pPr>
            <w:r>
              <w:rPr>
                <w:rFonts w:ascii="Calibri" w:hAnsi="Calibri"/>
                <w:color w:val="1F2937"/>
                <w:sz w:val="18"/>
              </w:rPr>
              <w:t>Stage 4: LLM Generation Layer</w:t>
            </w:r>
          </w:p>
        </w:tc>
        <w:tc>
          <w:tcPr>
            <w:tcW w:type="dxa" w:w="6480"/>
            <w:shd w:fill="F8FAFC"/>
            <w:tcMar>
              <w:top w:w="70" w:type="dxa"/>
              <w:bottom w:w="70" w:type="dxa"/>
              <w:left w:w="90" w:type="dxa"/>
              <w:right w:w="90" w:type="dxa"/>
            </w:tcMar>
          </w:tcPr>
          <w:p>
            <w:pPr>
              <w:jc w:val="center"/>
            </w:pPr>
            <w:r>
              <w:rPr>
                <w:rFonts w:ascii="Calibri" w:hAnsi="Calibri"/>
                <w:color w:val="1F2937"/>
                <w:sz w:val="18"/>
              </w:rPr>
              <w:t>The structured prompt is executed through the Generative AI Model (Google Gemini API / Contextual Engine) using temperature-tuned sampling.</w:t>
            </w:r>
          </w:p>
        </w:tc>
      </w:tr>
      <w:tr>
        <w:tc>
          <w:tcPr>
            <w:tcW w:type="dxa" w:w="3168"/>
            <w:shd w:fill="FFFFFF"/>
            <w:tcMar>
              <w:top w:w="70" w:type="dxa"/>
              <w:bottom w:w="70" w:type="dxa"/>
              <w:left w:w="90" w:type="dxa"/>
              <w:right w:w="90" w:type="dxa"/>
            </w:tcMar>
          </w:tcPr>
          <w:p>
            <w:pPr>
              <w:jc w:val="left"/>
            </w:pPr>
            <w:r>
              <w:rPr>
                <w:rFonts w:ascii="Calibri" w:hAnsi="Calibri"/>
                <w:color w:val="1F2937"/>
                <w:sz w:val="18"/>
              </w:rPr>
              <w:t>Stage 5: Output Parsing &amp; Display</w:t>
            </w:r>
          </w:p>
        </w:tc>
        <w:tc>
          <w:tcPr>
            <w:tcW w:type="dxa" w:w="6480"/>
            <w:shd w:fill="FFFFFF"/>
            <w:tcMar>
              <w:top w:w="70" w:type="dxa"/>
              <w:bottom w:w="70" w:type="dxa"/>
              <w:left w:w="90" w:type="dxa"/>
              <w:right w:w="90" w:type="dxa"/>
            </w:tcMar>
          </w:tcPr>
          <w:p>
            <w:pPr>
              <w:jc w:val="center"/>
            </w:pPr>
            <w:r>
              <w:rPr>
                <w:rFonts w:ascii="Calibri" w:hAnsi="Calibri"/>
                <w:color w:val="1F2937"/>
                <w:sz w:val="18"/>
              </w:rPr>
              <w:t>Generated text is parsed into 4 dedicated UI tabs: Email copy, Agent script, Concession table, and CRM JSON payload.</w:t>
            </w:r>
          </w:p>
        </w:tc>
      </w:tr>
      <w:tr>
        <w:tc>
          <w:tcPr>
            <w:tcW w:type="dxa" w:w="3168"/>
            <w:shd w:fill="F8FAFC"/>
            <w:tcMar>
              <w:top w:w="70" w:type="dxa"/>
              <w:bottom w:w="70" w:type="dxa"/>
              <w:left w:w="90" w:type="dxa"/>
              <w:right w:w="90" w:type="dxa"/>
            </w:tcMar>
          </w:tcPr>
          <w:p>
            <w:pPr>
              <w:jc w:val="left"/>
            </w:pPr>
            <w:r>
              <w:rPr>
                <w:rFonts w:ascii="Calibri" w:hAnsi="Calibri"/>
                <w:color w:val="1F2937"/>
                <w:sz w:val="18"/>
              </w:rPr>
              <w:t>Stage 6: Operational Dispatch</w:t>
            </w:r>
          </w:p>
        </w:tc>
        <w:tc>
          <w:tcPr>
            <w:tcW w:type="dxa" w:w="6480"/>
            <w:shd w:fill="F8FAFC"/>
            <w:tcMar>
              <w:top w:w="70" w:type="dxa"/>
              <w:bottom w:w="70" w:type="dxa"/>
              <w:left w:w="90" w:type="dxa"/>
              <w:right w:w="90" w:type="dxa"/>
            </w:tcMar>
          </w:tcPr>
          <w:p>
            <w:pPr>
              <w:jc w:val="center"/>
            </w:pPr>
            <w:r>
              <w:rPr>
                <w:rFonts w:ascii="Calibri" w:hAnsi="Calibri"/>
                <w:color w:val="1F2937"/>
                <w:sz w:val="18"/>
              </w:rPr>
              <w:t>Frontline agents copy communications, download text files, or trigger CRM API sync with 1 click.</w:t>
            </w:r>
          </w:p>
        </w:tc>
      </w:tr>
    </w:tbl>
    <w:p>
      <w:pPr>
        <w:pStyle w:val="Heading1"/>
        <w:keepNext/>
        <w:spacing w:before="280" w:after="80"/>
      </w:pPr>
      <w:r>
        <w:rPr>
          <w:rFonts w:ascii="Calibri" w:hAnsi="Calibri"/>
          <w:b/>
          <w:color w:val="1E3A8A"/>
          <w:sz w:val="34"/>
        </w:rPr>
        <w:t>6. System Architecture / Workflow</w:t>
      </w:r>
    </w:p>
    <w:p>
      <w:pPr>
        <w:spacing w:after="80" w:line="276" w:lineRule="auto"/>
      </w:pPr>
      <w:r>
        <w:rPr>
          <w:rFonts w:ascii="Calibri" w:hAnsi="Calibri"/>
          <w:color w:val="374151"/>
          <w:sz w:val="22"/>
        </w:rPr>
        <w:t>The TelcoPulse GenAI system employs a modern decoupled architecture that seamlessly connects user inputs, predictive machine learning models, prompt orchestration, and generative LLMs:</w:t>
      </w:r>
    </w:p>
    <w:p>
      <w:r>
        <w:drawing>
          <wp:inline xmlns:a="http://schemas.openxmlformats.org/drawingml/2006/main" xmlns:pic="http://schemas.openxmlformats.org/drawingml/2006/picture">
            <wp:extent cx="5669280" cy="3953577"/>
            <wp:docPr id="1" name="Picture 1"/>
            <wp:cNvGraphicFramePr>
              <a:graphicFrameLocks noChangeAspect="1"/>
            </wp:cNvGraphicFramePr>
            <a:graphic>
              <a:graphicData uri="http://schemas.openxmlformats.org/drawingml/2006/picture">
                <pic:pic>
                  <pic:nvPicPr>
                    <pic:cNvPr id="0" name="09_genai_system_architecture.png"/>
                    <pic:cNvPicPr/>
                  </pic:nvPicPr>
                  <pic:blipFill>
                    <a:blip r:embed="rId9"/>
                    <a:stretch>
                      <a:fillRect/>
                    </a:stretch>
                  </pic:blipFill>
                  <pic:spPr>
                    <a:xfrm>
                      <a:off x="0" y="0"/>
                      <a:ext cx="5669280" cy="3953577"/>
                    </a:xfrm>
                    <a:prstGeom prst="rect"/>
                  </pic:spPr>
                </pic:pic>
              </a:graphicData>
            </a:graphic>
          </wp:inline>
        </w:drawing>
      </w:r>
    </w:p>
    <w:p>
      <w:pPr>
        <w:spacing w:after="240"/>
        <w:jc w:val="center"/>
      </w:pPr>
      <w:r>
        <w:rPr>
          <w:i/>
          <w:color w:val="6B7280"/>
          <w:sz w:val="18"/>
        </w:rPr>
        <w:t>Figure 1: TelcoPulse GenAI End-to-End System Architecture &amp; Workflow</w:t>
      </w:r>
    </w:p>
    <w:p>
      <w:pPr>
        <w:spacing w:after="80" w:line="276" w:lineRule="auto"/>
      </w:pPr>
      <w:r>
        <w:rPr>
          <w:rFonts w:ascii="Calibri" w:hAnsi="Calibri"/>
          <w:color w:val="374151"/>
          <w:sz w:val="22"/>
        </w:rPr>
        <w:t>The architecture comprises five cohesive layers:</w:t>
      </w:r>
    </w:p>
    <w:p>
      <w:pPr>
        <w:pStyle w:val="ListBullet"/>
        <w:spacing w:after="60" w:line="276" w:lineRule="auto"/>
      </w:pPr>
      <w:r>
        <w:rPr>
          <w:rFonts w:ascii="Calibri" w:hAnsi="Calibri"/>
          <w:b/>
          <w:color w:val="1F2937"/>
          <w:sz w:val="22"/>
        </w:rPr>
        <w:t xml:space="preserve">1. Presentation Layer (Streamlit UI): </w:t>
      </w:r>
      <w:r>
        <w:rPr>
          <w:rFonts w:ascii="Calibri" w:hAnsi="Calibri"/>
          <w:color w:val="374151"/>
          <w:sz w:val="22"/>
        </w:rPr>
        <w:t>Streamlit web interface where retention agents configure customer profiles, campaign goals, and tone personas.</w:t>
      </w:r>
    </w:p>
    <w:p>
      <w:pPr>
        <w:pStyle w:val="ListBullet"/>
        <w:spacing w:after="60" w:line="276" w:lineRule="auto"/>
      </w:pPr>
      <w:r>
        <w:rPr>
          <w:rFonts w:ascii="Calibri" w:hAnsi="Calibri"/>
          <w:b/>
          <w:color w:val="1F2937"/>
          <w:sz w:val="22"/>
        </w:rPr>
        <w:t xml:space="preserve">2. Predictive Intelligence Layer: </w:t>
      </w:r>
      <w:r>
        <w:rPr>
          <w:rFonts w:ascii="Calibri" w:hAnsi="Calibri"/>
          <w:color w:val="374151"/>
          <w:sz w:val="22"/>
        </w:rPr>
        <w:t>Calculates churn risk probability and identifies specific risk drivers using Logistic Regression log-odds.</w:t>
      </w:r>
    </w:p>
    <w:p>
      <w:pPr>
        <w:pStyle w:val="ListBullet"/>
        <w:spacing w:after="60" w:line="276" w:lineRule="auto"/>
      </w:pPr>
      <w:r>
        <w:rPr>
          <w:rFonts w:ascii="Calibri" w:hAnsi="Calibri"/>
          <w:b/>
          <w:color w:val="1F2937"/>
          <w:sz w:val="22"/>
        </w:rPr>
        <w:t xml:space="preserve">3. Prompt Orchestration Layer: </w:t>
      </w:r>
      <w:r>
        <w:rPr>
          <w:rFonts w:ascii="Calibri" w:hAnsi="Calibri"/>
          <w:color w:val="374151"/>
          <w:sz w:val="22"/>
        </w:rPr>
        <w:t>Transforms telemetry into structured, few-shot prompt instructions enforcing business guardrails and communication goals.</w:t>
      </w:r>
    </w:p>
    <w:p>
      <w:pPr>
        <w:pStyle w:val="ListBullet"/>
        <w:spacing w:after="60" w:line="276" w:lineRule="auto"/>
      </w:pPr>
      <w:r>
        <w:rPr>
          <w:rFonts w:ascii="Calibri" w:hAnsi="Calibri"/>
          <w:b/>
          <w:color w:val="1F2937"/>
          <w:sz w:val="22"/>
        </w:rPr>
        <w:t xml:space="preserve">4. Generative AI Engine (Gemini / LLM): </w:t>
      </w:r>
      <w:r>
        <w:rPr>
          <w:rFonts w:ascii="Calibri" w:hAnsi="Calibri"/>
          <w:color w:val="374151"/>
          <w:sz w:val="22"/>
        </w:rPr>
        <w:t>Executes natural language generation with high empathy, contextual reasoning, and structured output formatting.</w:t>
      </w:r>
    </w:p>
    <w:p>
      <w:pPr>
        <w:pStyle w:val="ListBullet"/>
        <w:spacing w:after="60" w:line="276" w:lineRule="auto"/>
      </w:pPr>
      <w:r>
        <w:rPr>
          <w:rFonts w:ascii="Calibri" w:hAnsi="Calibri"/>
          <w:b/>
          <w:color w:val="1F2937"/>
          <w:sz w:val="22"/>
        </w:rPr>
        <w:t xml:space="preserve">5. Multi-Channel Dispatch Layer: </w:t>
      </w:r>
      <w:r>
        <w:rPr>
          <w:rFonts w:ascii="Calibri" w:hAnsi="Calibri"/>
          <w:color w:val="374151"/>
          <w:sz w:val="22"/>
        </w:rPr>
        <w:t>Formats outputs into customer-facing copy, agent scripts, and JSON payloads for downstream CRM ingestion.</w:t>
      </w:r>
    </w:p>
    <w:p>
      <w:r>
        <w:br w:type="page"/>
      </w:r>
    </w:p>
    <w:p>
      <w:pPr>
        <w:pStyle w:val="Heading1"/>
        <w:keepNext/>
        <w:spacing w:before="280" w:after="80"/>
      </w:pPr>
      <w:r>
        <w:rPr>
          <w:rFonts w:ascii="Calibri" w:hAnsi="Calibri"/>
          <w:b/>
          <w:color w:val="1E3A8A"/>
          <w:sz w:val="34"/>
        </w:rPr>
        <w:t>7. Implementation</w:t>
      </w:r>
    </w:p>
    <w:p>
      <w:pPr>
        <w:spacing w:after="80" w:line="276" w:lineRule="auto"/>
      </w:pPr>
      <w:r>
        <w:rPr>
          <w:rFonts w:ascii="Calibri" w:hAnsi="Calibri"/>
          <w:color w:val="374151"/>
          <w:sz w:val="22"/>
        </w:rPr>
        <w:t>The application is implemented using modern Python libraries, reactive web frameworks, and advanced prompt engineering principles:</w:t>
      </w:r>
    </w:p>
    <w:tbl>
      <w:tblPr>
        <w:tblW w:type="auto" w:w="0"/>
        <w:jc w:val="center"/>
        <w:tblLook w:firstColumn="1" w:firstRow="1" w:lastColumn="0" w:lastRow="0" w:noHBand="0" w:noVBand="1" w:val="04A0"/>
      </w:tblPr>
      <w:tblGrid>
        <w:gridCol w:w="4680"/>
        <w:gridCol w:w="4680"/>
      </w:tblGrid>
      <w:tr>
        <w:tc>
          <w:tcPr>
            <w:tcW w:type="dxa" w:w="3168"/>
            <w:shd w:fill="1E3A8A"/>
            <w:tcMar>
              <w:top w:w="100" w:type="dxa"/>
              <w:bottom w:w="100" w:type="dxa"/>
              <w:left w:w="100" w:type="dxa"/>
              <w:right w:w="100" w:type="dxa"/>
            </w:tcMar>
          </w:tcPr>
          <w:p>
            <w:pPr>
              <w:jc w:val="center"/>
            </w:pPr>
            <w:r>
              <w:rPr>
                <w:rFonts w:ascii="Calibri" w:hAnsi="Calibri"/>
                <w:b/>
                <w:color w:val="FFFFFF"/>
                <w:sz w:val="19"/>
              </w:rPr>
              <w:t>Technical Component</w:t>
            </w:r>
          </w:p>
        </w:tc>
        <w:tc>
          <w:tcPr>
            <w:tcW w:type="dxa" w:w="6480"/>
            <w:shd w:fill="1E3A8A"/>
            <w:tcMar>
              <w:top w:w="100" w:type="dxa"/>
              <w:bottom w:w="100" w:type="dxa"/>
              <w:left w:w="100" w:type="dxa"/>
              <w:right w:w="100" w:type="dxa"/>
            </w:tcMar>
          </w:tcPr>
          <w:p>
            <w:pPr>
              <w:jc w:val="center"/>
            </w:pPr>
            <w:r>
              <w:rPr>
                <w:rFonts w:ascii="Calibri" w:hAnsi="Calibri"/>
                <w:b/>
                <w:color w:val="FFFFFF"/>
                <w:sz w:val="19"/>
              </w:rPr>
              <w:t>Framework / Technology Selected</w:t>
            </w:r>
          </w:p>
        </w:tc>
      </w:tr>
      <w:tr>
        <w:tc>
          <w:tcPr>
            <w:tcW w:type="dxa" w:w="3168"/>
            <w:shd w:fill="FFFFFF"/>
            <w:tcMar>
              <w:top w:w="70" w:type="dxa"/>
              <w:bottom w:w="70" w:type="dxa"/>
              <w:left w:w="90" w:type="dxa"/>
              <w:right w:w="90" w:type="dxa"/>
            </w:tcMar>
          </w:tcPr>
          <w:p>
            <w:pPr>
              <w:jc w:val="left"/>
            </w:pPr>
            <w:r>
              <w:rPr>
                <w:rFonts w:ascii="Calibri" w:hAnsi="Calibri"/>
                <w:color w:val="1F2937"/>
                <w:sz w:val="18"/>
              </w:rPr>
              <w:t>Programming Language</w:t>
            </w:r>
          </w:p>
        </w:tc>
        <w:tc>
          <w:tcPr>
            <w:tcW w:type="dxa" w:w="6480"/>
            <w:shd w:fill="FFFFFF"/>
            <w:tcMar>
              <w:top w:w="70" w:type="dxa"/>
              <w:bottom w:w="70" w:type="dxa"/>
              <w:left w:w="90" w:type="dxa"/>
              <w:right w:w="90" w:type="dxa"/>
            </w:tcMar>
          </w:tcPr>
          <w:p>
            <w:pPr>
              <w:jc w:val="center"/>
            </w:pPr>
            <w:r>
              <w:rPr>
                <w:rFonts w:ascii="Calibri" w:hAnsi="Calibri"/>
                <w:color w:val="1F2937"/>
                <w:sz w:val="18"/>
              </w:rPr>
              <w:t>Python 3.10+ (Backend logic, data processing, prompt engineering)</w:t>
            </w:r>
          </w:p>
        </w:tc>
      </w:tr>
      <w:tr>
        <w:tc>
          <w:tcPr>
            <w:tcW w:type="dxa" w:w="3168"/>
            <w:shd w:fill="F8FAFC"/>
            <w:tcMar>
              <w:top w:w="70" w:type="dxa"/>
              <w:bottom w:w="70" w:type="dxa"/>
              <w:left w:w="90" w:type="dxa"/>
              <w:right w:w="90" w:type="dxa"/>
            </w:tcMar>
          </w:tcPr>
          <w:p>
            <w:pPr>
              <w:jc w:val="left"/>
            </w:pPr>
            <w:r>
              <w:rPr>
                <w:rFonts w:ascii="Calibri" w:hAnsi="Calibri"/>
                <w:color w:val="1F2937"/>
                <w:sz w:val="18"/>
              </w:rPr>
              <w:t>Frontend &amp; Web UI</w:t>
            </w:r>
          </w:p>
        </w:tc>
        <w:tc>
          <w:tcPr>
            <w:tcW w:type="dxa" w:w="6480"/>
            <w:shd w:fill="F8FAFC"/>
            <w:tcMar>
              <w:top w:w="70" w:type="dxa"/>
              <w:bottom w:w="70" w:type="dxa"/>
              <w:left w:w="90" w:type="dxa"/>
              <w:right w:w="90" w:type="dxa"/>
            </w:tcMar>
          </w:tcPr>
          <w:p>
            <w:pPr>
              <w:jc w:val="center"/>
            </w:pPr>
            <w:r>
              <w:rPr>
                <w:rFonts w:ascii="Calibri" w:hAnsi="Calibri"/>
                <w:color w:val="1F2937"/>
                <w:sz w:val="18"/>
              </w:rPr>
              <w:t>Streamlit 1.30+ (Reactive state management, interactive multi-tab layout)</w:t>
            </w:r>
          </w:p>
        </w:tc>
      </w:tr>
      <w:tr>
        <w:tc>
          <w:tcPr>
            <w:tcW w:type="dxa" w:w="3168"/>
            <w:shd w:fill="FFFFFF"/>
            <w:tcMar>
              <w:top w:w="70" w:type="dxa"/>
              <w:bottom w:w="70" w:type="dxa"/>
              <w:left w:w="90" w:type="dxa"/>
              <w:right w:w="90" w:type="dxa"/>
            </w:tcMar>
          </w:tcPr>
          <w:p>
            <w:pPr>
              <w:jc w:val="left"/>
            </w:pPr>
            <w:r>
              <w:rPr>
                <w:rFonts w:ascii="Calibri" w:hAnsi="Calibri"/>
                <w:color w:val="1F2937"/>
                <w:sz w:val="18"/>
              </w:rPr>
              <w:t>Generative AI Engine</w:t>
            </w:r>
          </w:p>
        </w:tc>
        <w:tc>
          <w:tcPr>
            <w:tcW w:type="dxa" w:w="6480"/>
            <w:shd w:fill="FFFFFF"/>
            <w:tcMar>
              <w:top w:w="70" w:type="dxa"/>
              <w:bottom w:w="70" w:type="dxa"/>
              <w:left w:w="90" w:type="dxa"/>
              <w:right w:w="90" w:type="dxa"/>
            </w:tcMar>
          </w:tcPr>
          <w:p>
            <w:pPr>
              <w:jc w:val="center"/>
            </w:pPr>
            <w:r>
              <w:rPr>
                <w:rFonts w:ascii="Calibri" w:hAnsi="Calibri"/>
                <w:color w:val="1F2937"/>
                <w:sz w:val="18"/>
              </w:rPr>
              <w:t>Google Gemini API / Contextual Large Language Model Architecture</w:t>
            </w:r>
          </w:p>
        </w:tc>
      </w:tr>
      <w:tr>
        <w:tc>
          <w:tcPr>
            <w:tcW w:type="dxa" w:w="3168"/>
            <w:shd w:fill="F8FAFC"/>
            <w:tcMar>
              <w:top w:w="70" w:type="dxa"/>
              <w:bottom w:w="70" w:type="dxa"/>
              <w:left w:w="90" w:type="dxa"/>
              <w:right w:w="90" w:type="dxa"/>
            </w:tcMar>
          </w:tcPr>
          <w:p>
            <w:pPr>
              <w:jc w:val="left"/>
            </w:pPr>
            <w:r>
              <w:rPr>
                <w:rFonts w:ascii="Calibri" w:hAnsi="Calibri"/>
                <w:color w:val="1F2937"/>
                <w:sz w:val="18"/>
              </w:rPr>
              <w:t>Predictive ML Engine</w:t>
            </w:r>
          </w:p>
        </w:tc>
        <w:tc>
          <w:tcPr>
            <w:tcW w:type="dxa" w:w="6480"/>
            <w:shd w:fill="F8FAFC"/>
            <w:tcMar>
              <w:top w:w="70" w:type="dxa"/>
              <w:bottom w:w="70" w:type="dxa"/>
              <w:left w:w="90" w:type="dxa"/>
              <w:right w:w="90" w:type="dxa"/>
            </w:tcMar>
          </w:tcPr>
          <w:p>
            <w:pPr>
              <w:jc w:val="center"/>
            </w:pPr>
            <w:r>
              <w:rPr>
                <w:rFonts w:ascii="Calibri" w:hAnsi="Calibri"/>
                <w:color w:val="1F2937"/>
                <w:sz w:val="18"/>
              </w:rPr>
              <w:t>Scikit-Learn 1.3+ (Logistic Regression, StandardScaler, OneHotEncoder)</w:t>
            </w:r>
          </w:p>
        </w:tc>
      </w:tr>
      <w:tr>
        <w:tc>
          <w:tcPr>
            <w:tcW w:type="dxa" w:w="3168"/>
            <w:shd w:fill="FFFFFF"/>
            <w:tcMar>
              <w:top w:w="70" w:type="dxa"/>
              <w:bottom w:w="70" w:type="dxa"/>
              <w:left w:w="90" w:type="dxa"/>
              <w:right w:w="90" w:type="dxa"/>
            </w:tcMar>
          </w:tcPr>
          <w:p>
            <w:pPr>
              <w:jc w:val="left"/>
            </w:pPr>
            <w:r>
              <w:rPr>
                <w:rFonts w:ascii="Calibri" w:hAnsi="Calibri"/>
                <w:color w:val="1F2937"/>
                <w:sz w:val="18"/>
              </w:rPr>
              <w:t>Data Handling &amp; Visuals</w:t>
            </w:r>
          </w:p>
        </w:tc>
        <w:tc>
          <w:tcPr>
            <w:tcW w:type="dxa" w:w="6480"/>
            <w:shd w:fill="FFFFFF"/>
            <w:tcMar>
              <w:top w:w="70" w:type="dxa"/>
              <w:bottom w:w="70" w:type="dxa"/>
              <w:left w:w="90" w:type="dxa"/>
              <w:right w:w="90" w:type="dxa"/>
            </w:tcMar>
          </w:tcPr>
          <w:p>
            <w:pPr>
              <w:jc w:val="center"/>
            </w:pPr>
            <w:r>
              <w:rPr>
                <w:rFonts w:ascii="Calibri" w:hAnsi="Calibri"/>
                <w:color w:val="1F2937"/>
                <w:sz w:val="18"/>
              </w:rPr>
              <w:t>Pandas, NumPy, Plotly Express &amp; Graph Objects, Matplotlib</w:t>
            </w:r>
          </w:p>
        </w:tc>
      </w:tr>
      <w:tr>
        <w:tc>
          <w:tcPr>
            <w:tcW w:type="dxa" w:w="3168"/>
            <w:shd w:fill="F8FAFC"/>
            <w:tcMar>
              <w:top w:w="70" w:type="dxa"/>
              <w:bottom w:w="70" w:type="dxa"/>
              <w:left w:w="90" w:type="dxa"/>
              <w:right w:w="90" w:type="dxa"/>
            </w:tcMar>
          </w:tcPr>
          <w:p>
            <w:pPr>
              <w:jc w:val="left"/>
            </w:pPr>
            <w:r>
              <w:rPr>
                <w:rFonts w:ascii="Calibri" w:hAnsi="Calibri"/>
                <w:color w:val="1F2937"/>
                <w:sz w:val="18"/>
              </w:rPr>
              <w:t>Deployment Platform</w:t>
            </w:r>
          </w:p>
        </w:tc>
        <w:tc>
          <w:tcPr>
            <w:tcW w:type="dxa" w:w="6480"/>
            <w:shd w:fill="F8FAFC"/>
            <w:tcMar>
              <w:top w:w="70" w:type="dxa"/>
              <w:bottom w:w="70" w:type="dxa"/>
              <w:left w:w="90" w:type="dxa"/>
              <w:right w:w="90" w:type="dxa"/>
            </w:tcMar>
          </w:tcPr>
          <w:p>
            <w:pPr>
              <w:jc w:val="center"/>
            </w:pPr>
            <w:r>
              <w:rPr>
                <w:rFonts w:ascii="Calibri" w:hAnsi="Calibri"/>
                <w:color w:val="1F2937"/>
                <w:sz w:val="18"/>
              </w:rPr>
              <w:t>Streamlit Community Cloud (Live Continuous Deployment linked to GitHub)</w:t>
            </w:r>
          </w:p>
        </w:tc>
      </w:tr>
    </w:tbl>
    <w:p>
      <w:pPr>
        <w:pStyle w:val="Heading2"/>
        <w:keepNext/>
        <w:spacing w:before="280" w:after="80"/>
      </w:pPr>
      <w:r>
        <w:rPr>
          <w:rFonts w:ascii="Calibri" w:hAnsi="Calibri"/>
          <w:b/>
          <w:color w:val="2563EB"/>
          <w:sz w:val="26"/>
        </w:rPr>
        <w:t>7.1 Structured Prompt Engineering Implementation</w:t>
      </w:r>
    </w:p>
    <w:p>
      <w:pPr>
        <w:spacing w:after="80" w:line="276" w:lineRule="auto"/>
      </w:pPr>
      <w:r>
        <w:rPr>
          <w:rFonts w:ascii="Calibri" w:hAnsi="Calibri"/>
          <w:color w:val="374151"/>
          <w:sz w:val="22"/>
        </w:rPr>
        <w:t>The system utilizes a structured few-shot system prompt that enforces strict business rules, tone calibration, and JSON schema formatting:</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64" w:lineRule="auto"/>
            </w:pPr>
            <w:r>
              <w:rPr>
                <w:rFonts w:ascii="Consolas" w:hAnsi="Consolas"/>
                <w:color w:val="E2E8F0"/>
                <w:sz w:val="18"/>
              </w:rPr>
              <w:t># Structured System Prompt Template for Retention Copilot</w:t>
              <w:br/>
              <w:t>SYSTEM_PROMPT = """</w:t>
              <w:br/>
              <w:t xml:space="preserve">You are an expert Telecom Retention Strategist &amp; Copywriter. Your mission is to </w:t>
              <w:br/>
              <w:t xml:space="preserve">convert high-churn risk subscribers into long-term loyal customers through </w:t>
              <w:br/>
              <w:t>empathetic, personalized, and value-maximizing communications.</w:t>
              <w:br/>
              <w:br/>
              <w:t>USER INPUT CONTEXT:</w:t>
              <w:br/>
              <w:t>- Customer Name: {customer_name}</w:t>
              <w:br/>
              <w:t>- Predictive ML Churn Risk: {risk_tier} (Probability: {churn_prob:.1%})</w:t>
              <w:br/>
              <w:t>- Account Tenure: {tenure} months | Monthly Bill: ${monthly_charges}/mo</w:t>
              <w:br/>
              <w:t>- Subscribed Services: Internet ({internet_service}), Tech Support ({tech_support})</w:t>
              <w:br/>
              <w:t>- Top Identified Churn Drivers: {primary_churn_drivers}</w:t>
              <w:br/>
              <w:t>- Campaign Objective: {campaign_objective}</w:t>
              <w:br/>
              <w:t>- Persona Tone: {persona_tone}</w:t>
              <w:br/>
              <w:t>- Target Channel: {communication_channel}</w:t>
              <w:br/>
              <w:br/>
              <w:t>TASK REQUIREMENTS:</w:t>
              <w:br/>
              <w:t>1. CUSTOMER COMMUNICATION: Draft an empathetic, high-converting message resolving their specific pain points.</w:t>
              <w:br/>
              <w:t>2. AGENT OBJECTION SCRIPT: Provide 3 exact objection rebuttals for call center agents.</w:t>
              <w:br/>
              <w:t>3. CONCESSION MATRIX: Generate a 4-tier concession hierarchy protecting company margins.</w:t>
              <w:br/>
              <w:t>4. CRM PAYLOAD: Output a validated JSON payload ready for automated CRM queueing.</w:t>
              <w:br/>
              <w:t>"""</w:t>
            </w:r>
          </w:p>
        </w:tc>
      </w:tr>
    </w:tbl>
    <w:p>
      <w:pPr>
        <w:spacing w:after="60"/>
      </w:pPr>
    </w:p>
    <w:p>
      <w:pPr>
        <w:pStyle w:val="Heading2"/>
        <w:keepNext/>
        <w:spacing w:before="280" w:after="80"/>
      </w:pPr>
      <w:r>
        <w:rPr>
          <w:rFonts w:ascii="Calibri" w:hAnsi="Calibri"/>
          <w:b/>
          <w:color w:val="2563EB"/>
          <w:sz w:val="26"/>
        </w:rPr>
        <w:t>7.2 GenAI Execution &amp; Response Parsing Function</w:t>
      </w:r>
    </w:p>
    <w:tbl>
      <w:tblPr>
        <w:tblW w:type="auto" w:w="0"/>
        <w:jc w:val="center"/>
        <w:tblLook w:firstColumn="1" w:firstRow="1" w:lastColumn="0" w:lastRow="0" w:noHBand="0" w:noVBand="1" w:val="04A0"/>
      </w:tblPr>
      <w:tblGrid>
        <w:gridCol w:w="9360"/>
      </w:tblGrid>
      <w:tr>
        <w:tc>
          <w:tcPr>
            <w:tcW w:type="dxa" w:w="9360"/>
            <w:shd w:fill="0F172A"/>
            <w:tcMar>
              <w:top w:w="120" w:type="dxa"/>
              <w:bottom w:w="120" w:type="dxa"/>
              <w:left w:w="160" w:type="dxa"/>
              <w:right w:w="160" w:type="dxa"/>
            </w:tcMar>
          </w:tcPr>
          <w:p>
            <w:pPr>
              <w:spacing w:after="0" w:line="264" w:lineRule="auto"/>
            </w:pPr>
            <w:r>
              <w:rPr>
                <w:rFonts w:ascii="Consolas" w:hAnsi="Consolas"/>
                <w:color w:val="E2E8F0"/>
                <w:sz w:val="18"/>
              </w:rPr>
              <w:t># GenAI Retention Asset Generation &amp; Dispatch Function</w:t>
              <w:br/>
              <w:t>def generate_retention_campaign(customer_profile, campaign_config):</w:t>
              <w:br/>
              <w:t xml:space="preserve">    # Calculate mathematically optimized concession parameters</w:t>
              <w:br/>
              <w:t xml:space="preserve">    discount_rate = 0.20 # 20% loyalty incentive</w:t>
              <w:br/>
              <w:t xml:space="preserve">    discount_val = round(customer_profile['monthly_charges'] * discount_rate, 2)</w:t>
              <w:br/>
              <w:t xml:space="preserve">    new_mrr = round(customer_profile['monthly_charges'] - discount_val, 2)</w:t>
              <w:br/>
              <w:t xml:space="preserve">    </w:t>
              <w:br/>
              <w:t xml:space="preserve">    # Assemble prompt with parameterized context</w:t>
              <w:br/>
              <w:t xml:space="preserve">    prompt = SYSTEM_PROMPT.format(</w:t>
              <w:br/>
              <w:t xml:space="preserve">        customer_name=customer_profile['name'],</w:t>
              <w:br/>
              <w:t xml:space="preserve">        risk_tier=customer_profile['risk_tier'],</w:t>
              <w:br/>
              <w:t xml:space="preserve">        monthly_charges=customer_profile['monthly_charges'],</w:t>
              <w:br/>
              <w:t xml:space="preserve">        discount_amount=discount_val,</w:t>
              <w:br/>
              <w:t xml:space="preserve">        new_bill=new_mrr,</w:t>
              <w:br/>
              <w:t xml:space="preserve">        ...</w:t>
              <w:br/>
              <w:t xml:space="preserve">    )</w:t>
              <w:br/>
              <w:t xml:space="preserve">    </w:t>
              <w:br/>
              <w:t xml:space="preserve">    # Execute LLM Inference &amp; Return Multi-Channel Tabular Assets</w:t>
              <w:br/>
              <w:t xml:space="preserve">    response_payload = execute_llm_inference(prompt)</w:t>
              <w:br/>
              <w:t xml:space="preserve">    return response_payload</w:t>
            </w:r>
          </w:p>
        </w:tc>
      </w:tr>
    </w:tbl>
    <w:p>
      <w:pPr>
        <w:spacing w:after="60"/>
      </w:pPr>
    </w:p>
    <w:p>
      <w:r>
        <w:br w:type="page"/>
      </w:r>
    </w:p>
    <w:p>
      <w:pPr>
        <w:pStyle w:val="Heading1"/>
        <w:keepNext/>
        <w:spacing w:before="280" w:after="80"/>
      </w:pPr>
      <w:r>
        <w:rPr>
          <w:rFonts w:ascii="Calibri" w:hAnsi="Calibri"/>
          <w:b/>
          <w:color w:val="1E3A8A"/>
          <w:sz w:val="34"/>
        </w:rPr>
        <w:t>8. User Interface / Application Screenshots</w:t>
      </w:r>
    </w:p>
    <w:p>
      <w:pPr>
        <w:spacing w:after="80" w:line="276" w:lineRule="auto"/>
      </w:pPr>
      <w:r>
        <w:rPr>
          <w:rFonts w:ascii="Calibri" w:hAnsi="Calibri"/>
          <w:color w:val="374151"/>
          <w:sz w:val="22"/>
        </w:rPr>
        <w:t>The TelcoPulse GenAI platform provides a seamless, production-ready interface across all retention workflows:</w:t>
      </w:r>
    </w:p>
    <w:p>
      <w:pPr>
        <w:pStyle w:val="Heading2"/>
        <w:keepNext/>
        <w:spacing w:before="280" w:after="80"/>
      </w:pPr>
      <w:r>
        <w:rPr>
          <w:rFonts w:ascii="Calibri" w:hAnsi="Calibri"/>
          <w:b/>
          <w:color w:val="2563EB"/>
          <w:sz w:val="26"/>
        </w:rPr>
        <w:t>Figure 2: GenAI Customer Retention Copilot Interface &amp; Generated Assets</w:t>
      </w:r>
    </w:p>
    <w:p>
      <w:pPr>
        <w:spacing w:after="80" w:line="276" w:lineRule="auto"/>
      </w:pPr>
      <w:r>
        <w:rPr>
          <w:rFonts w:ascii="Calibri" w:hAnsi="Calibri"/>
          <w:color w:val="374151"/>
          <w:sz w:val="22"/>
        </w:rPr>
        <w:t>Displays the prompt configuration sidebar, subscriber telemetry inputs, and the four generated AI tabs: personalized win-back email, agent call script, concession matrix, and CRM JSON payload.</w:t>
      </w:r>
    </w:p>
    <w:p>
      <w:r>
        <w:drawing>
          <wp:inline xmlns:a="http://schemas.openxmlformats.org/drawingml/2006/main" xmlns:pic="http://schemas.openxmlformats.org/drawingml/2006/picture">
            <wp:extent cx="5486400" cy="3708186"/>
            <wp:docPr id="2" name="Picture 2"/>
            <wp:cNvGraphicFramePr>
              <a:graphicFrameLocks noChangeAspect="1"/>
            </wp:cNvGraphicFramePr>
            <a:graphic>
              <a:graphicData uri="http://schemas.openxmlformats.org/drawingml/2006/picture">
                <pic:pic>
                  <pic:nvPicPr>
                    <pic:cNvPr id="0" name="10_genai_copilot_ui.png"/>
                    <pic:cNvPicPr/>
                  </pic:nvPicPr>
                  <pic:blipFill>
                    <a:blip r:embed="rId10"/>
                    <a:stretch>
                      <a:fillRect/>
                    </a:stretch>
                  </pic:blipFill>
                  <pic:spPr>
                    <a:xfrm>
                      <a:off x="0" y="0"/>
                      <a:ext cx="5486400" cy="3708186"/>
                    </a:xfrm>
                    <a:prstGeom prst="rect"/>
                  </pic:spPr>
                </pic:pic>
              </a:graphicData>
            </a:graphic>
          </wp:inline>
        </w:drawing>
      </w:r>
    </w:p>
    <w:p>
      <w:pPr>
        <w:spacing w:after="280"/>
        <w:jc w:val="center"/>
      </w:pPr>
      <w:r>
        <w:rPr>
          <w:rFonts w:ascii="Calibri" w:hAnsi="Calibri"/>
          <w:i/>
          <w:color w:val="6B7280"/>
          <w:sz w:val="18"/>
        </w:rPr>
        <w:t>Figure 2: GenAI Customer Retention Copilot Interface &amp; Generated Assets</w:t>
      </w:r>
    </w:p>
    <w:p>
      <w:pPr>
        <w:pStyle w:val="Heading2"/>
        <w:keepNext/>
        <w:spacing w:before="280" w:after="80"/>
      </w:pPr>
      <w:r>
        <w:rPr>
          <w:rFonts w:ascii="Calibri" w:hAnsi="Calibri"/>
          <w:b/>
          <w:color w:val="2563EB"/>
          <w:sz w:val="26"/>
        </w:rPr>
        <w:t>Figure 3: Single Customer Risk Diagnosis &amp; Speedometer Gauge</w:t>
      </w:r>
    </w:p>
    <w:p>
      <w:pPr>
        <w:spacing w:after="80" w:line="276" w:lineRule="auto"/>
      </w:pPr>
      <w:r>
        <w:rPr>
          <w:rFonts w:ascii="Calibri" w:hAnsi="Calibri"/>
          <w:color w:val="374151"/>
          <w:sz w:val="22"/>
        </w:rPr>
        <w:t>Presents real-time predictive ML risk scoring (&lt;30% Safe, 30-60% Moderate, &gt;60% Critical), annual financial exposure ($/year), and local log-odds feature attribution waterfall.</w:t>
      </w:r>
    </w:p>
    <w:p>
      <w:r>
        <w:drawing>
          <wp:inline xmlns:a="http://schemas.openxmlformats.org/drawingml/2006/main" xmlns:pic="http://schemas.openxmlformats.org/drawingml/2006/picture">
            <wp:extent cx="5486400" cy="3722914"/>
            <wp:docPr id="3" name="Picture 3"/>
            <wp:cNvGraphicFramePr>
              <a:graphicFrameLocks noChangeAspect="1"/>
            </wp:cNvGraphicFramePr>
            <a:graphic>
              <a:graphicData uri="http://schemas.openxmlformats.org/drawingml/2006/picture">
                <pic:pic>
                  <pic:nvPicPr>
                    <pic:cNvPr id="0" name="01_single_customer_diagnosis.png"/>
                    <pic:cNvPicPr/>
                  </pic:nvPicPr>
                  <pic:blipFill>
                    <a:blip r:embed="rId11"/>
                    <a:stretch>
                      <a:fillRect/>
                    </a:stretch>
                  </pic:blipFill>
                  <pic:spPr>
                    <a:xfrm>
                      <a:off x="0" y="0"/>
                      <a:ext cx="5486400" cy="3722914"/>
                    </a:xfrm>
                    <a:prstGeom prst="rect"/>
                  </pic:spPr>
                </pic:pic>
              </a:graphicData>
            </a:graphic>
          </wp:inline>
        </w:drawing>
      </w:r>
    </w:p>
    <w:p>
      <w:pPr>
        <w:spacing w:after="280"/>
        <w:jc w:val="center"/>
      </w:pPr>
      <w:r>
        <w:rPr>
          <w:rFonts w:ascii="Calibri" w:hAnsi="Calibri"/>
          <w:i/>
          <w:color w:val="6B7280"/>
          <w:sz w:val="18"/>
        </w:rPr>
        <w:t>Figure 3: Single Customer Risk Diagnosis &amp; Speedometer Gauge</w:t>
      </w:r>
    </w:p>
    <w:p>
      <w:pPr>
        <w:pStyle w:val="Heading2"/>
        <w:keepNext/>
        <w:spacing w:before="280" w:after="80"/>
      </w:pPr>
      <w:r>
        <w:rPr>
          <w:rFonts w:ascii="Calibri" w:hAnsi="Calibri"/>
          <w:b/>
          <w:color w:val="2563EB"/>
          <w:sz w:val="26"/>
        </w:rPr>
        <w:t>Figure 4: What-If Retention Strategy Simulator</w:t>
      </w:r>
    </w:p>
    <w:p>
      <w:pPr>
        <w:spacing w:after="80" w:line="276" w:lineRule="auto"/>
      </w:pPr>
      <w:r>
        <w:rPr>
          <w:rFonts w:ascii="Calibri" w:hAnsi="Calibri"/>
          <w:color w:val="374151"/>
          <w:sz w:val="22"/>
        </w:rPr>
        <w:t>Allows retention specialists to test contract extensions, security bundles, and fee discounts, observing real-time risk drops before pitching offers to subscribers.</w:t>
      </w:r>
    </w:p>
    <w:p>
      <w:r>
        <w:drawing>
          <wp:inline xmlns:a="http://schemas.openxmlformats.org/drawingml/2006/main" xmlns:pic="http://schemas.openxmlformats.org/drawingml/2006/picture">
            <wp:extent cx="5486400" cy="3722914"/>
            <wp:docPr id="4" name="Picture 4"/>
            <wp:cNvGraphicFramePr>
              <a:graphicFrameLocks noChangeAspect="1"/>
            </wp:cNvGraphicFramePr>
            <a:graphic>
              <a:graphicData uri="http://schemas.openxmlformats.org/drawingml/2006/picture">
                <pic:pic>
                  <pic:nvPicPr>
                    <pic:cNvPr id="0" name="02_what_if_sandbox.png"/>
                    <pic:cNvPicPr/>
                  </pic:nvPicPr>
                  <pic:blipFill>
                    <a:blip r:embed="rId12"/>
                    <a:stretch>
                      <a:fillRect/>
                    </a:stretch>
                  </pic:blipFill>
                  <pic:spPr>
                    <a:xfrm>
                      <a:off x="0" y="0"/>
                      <a:ext cx="5486400" cy="3722914"/>
                    </a:xfrm>
                    <a:prstGeom prst="rect"/>
                  </pic:spPr>
                </pic:pic>
              </a:graphicData>
            </a:graphic>
          </wp:inline>
        </w:drawing>
      </w:r>
    </w:p>
    <w:p>
      <w:pPr>
        <w:spacing w:after="280"/>
        <w:jc w:val="center"/>
      </w:pPr>
      <w:r>
        <w:rPr>
          <w:rFonts w:ascii="Calibri" w:hAnsi="Calibri"/>
          <w:i/>
          <w:color w:val="6B7280"/>
          <w:sz w:val="18"/>
        </w:rPr>
        <w:t>Figure 4: What-If Retention Strategy Simulator</w:t>
      </w:r>
    </w:p>
    <w:p>
      <w:pPr>
        <w:pStyle w:val="Heading2"/>
        <w:keepNext/>
        <w:spacing w:before="280" w:after="80"/>
      </w:pPr>
      <w:r>
        <w:rPr>
          <w:rFonts w:ascii="Calibri" w:hAnsi="Calibri"/>
          <w:b/>
          <w:color w:val="2563EB"/>
          <w:sz w:val="26"/>
        </w:rPr>
        <w:t>Figure 5: Batch Cohort Scoring &amp; Prioritized Action Queue</w:t>
      </w:r>
    </w:p>
    <w:p>
      <w:pPr>
        <w:spacing w:after="80" w:line="276" w:lineRule="auto"/>
      </w:pPr>
      <w:r>
        <w:rPr>
          <w:rFonts w:ascii="Calibri" w:hAnsi="Calibri"/>
          <w:color w:val="374151"/>
          <w:sz w:val="22"/>
        </w:rPr>
        <w:t>Scores entire subscriber rosters (.csv), ranks accounts by expected annual financial loss, and generates downloadable campaign outreach lists.</w:t>
      </w:r>
    </w:p>
    <w:p>
      <w:r>
        <w:drawing>
          <wp:inline xmlns:a="http://schemas.openxmlformats.org/drawingml/2006/main" xmlns:pic="http://schemas.openxmlformats.org/drawingml/2006/picture">
            <wp:extent cx="5486400" cy="3722914"/>
            <wp:docPr id="5" name="Picture 5"/>
            <wp:cNvGraphicFramePr>
              <a:graphicFrameLocks noChangeAspect="1"/>
            </wp:cNvGraphicFramePr>
            <a:graphic>
              <a:graphicData uri="http://schemas.openxmlformats.org/drawingml/2006/picture">
                <pic:pic>
                  <pic:nvPicPr>
                    <pic:cNvPr id="0" name="03_batch_scoring_queue.png"/>
                    <pic:cNvPicPr/>
                  </pic:nvPicPr>
                  <pic:blipFill>
                    <a:blip r:embed="rId13"/>
                    <a:stretch>
                      <a:fillRect/>
                    </a:stretch>
                  </pic:blipFill>
                  <pic:spPr>
                    <a:xfrm>
                      <a:off x="0" y="0"/>
                      <a:ext cx="5486400" cy="3722914"/>
                    </a:xfrm>
                    <a:prstGeom prst="rect"/>
                  </pic:spPr>
                </pic:pic>
              </a:graphicData>
            </a:graphic>
          </wp:inline>
        </w:drawing>
      </w:r>
    </w:p>
    <w:p>
      <w:pPr>
        <w:spacing w:after="280"/>
        <w:jc w:val="center"/>
      </w:pPr>
      <w:r>
        <w:rPr>
          <w:rFonts w:ascii="Calibri" w:hAnsi="Calibri"/>
          <w:i/>
          <w:color w:val="6B7280"/>
          <w:sz w:val="18"/>
        </w:rPr>
        <w:t>Figure 5: Batch Cohort Scoring &amp; Prioritized Action Queue</w:t>
      </w:r>
    </w:p>
    <w:p>
      <w:pPr>
        <w:pStyle w:val="Heading2"/>
        <w:keepNext/>
        <w:spacing w:before="280" w:after="80"/>
      </w:pPr>
      <w:r>
        <w:rPr>
          <w:rFonts w:ascii="Calibri" w:hAnsi="Calibri"/>
          <w:b/>
          <w:color w:val="2563EB"/>
          <w:sz w:val="26"/>
        </w:rPr>
        <w:t>Figure 6: Executive Cohort Analytics &amp; Macro EDA</w:t>
      </w:r>
    </w:p>
    <w:p>
      <w:pPr>
        <w:spacing w:after="80" w:line="276" w:lineRule="auto"/>
      </w:pPr>
      <w:r>
        <w:rPr>
          <w:rFonts w:ascii="Calibri" w:hAnsi="Calibri"/>
          <w:color w:val="374151"/>
          <w:sz w:val="22"/>
        </w:rPr>
        <w:t>Presents macro-level retention insights across contract types, payment methods, monthly charges distribution, and tech support adoption.</w:t>
      </w:r>
    </w:p>
    <w:p>
      <w:r>
        <w:drawing>
          <wp:inline xmlns:a="http://schemas.openxmlformats.org/drawingml/2006/main" xmlns:pic="http://schemas.openxmlformats.org/drawingml/2006/picture">
            <wp:extent cx="5486400" cy="3722914"/>
            <wp:docPr id="6" name="Picture 6"/>
            <wp:cNvGraphicFramePr>
              <a:graphicFrameLocks noChangeAspect="1"/>
            </wp:cNvGraphicFramePr>
            <a:graphic>
              <a:graphicData uri="http://schemas.openxmlformats.org/drawingml/2006/picture">
                <pic:pic>
                  <pic:nvPicPr>
                    <pic:cNvPr id="0" name="04_executive_cohort_insights.png"/>
                    <pic:cNvPicPr/>
                  </pic:nvPicPr>
                  <pic:blipFill>
                    <a:blip r:embed="rId14"/>
                    <a:stretch>
                      <a:fillRect/>
                    </a:stretch>
                  </pic:blipFill>
                  <pic:spPr>
                    <a:xfrm>
                      <a:off x="0" y="0"/>
                      <a:ext cx="5486400" cy="3722914"/>
                    </a:xfrm>
                    <a:prstGeom prst="rect"/>
                  </pic:spPr>
                </pic:pic>
              </a:graphicData>
            </a:graphic>
          </wp:inline>
        </w:drawing>
      </w:r>
    </w:p>
    <w:p>
      <w:pPr>
        <w:spacing w:after="280"/>
        <w:jc w:val="center"/>
      </w:pPr>
      <w:r>
        <w:rPr>
          <w:rFonts w:ascii="Calibri" w:hAnsi="Calibri"/>
          <w:i/>
          <w:color w:val="6B7280"/>
          <w:sz w:val="18"/>
        </w:rPr>
        <w:t>Figure 6: Executive Cohort Analytics &amp; Macro EDA</w:t>
      </w:r>
    </w:p>
    <w:p>
      <w:r>
        <w:br w:type="page"/>
      </w:r>
    </w:p>
    <w:p>
      <w:pPr>
        <w:pStyle w:val="Heading1"/>
        <w:keepNext/>
        <w:spacing w:before="280" w:after="80"/>
      </w:pPr>
      <w:r>
        <w:rPr>
          <w:rFonts w:ascii="Calibri" w:hAnsi="Calibri"/>
          <w:b/>
          <w:color w:val="1E3A8A"/>
          <w:sz w:val="34"/>
        </w:rPr>
        <w:t>9. Challenges and Limitations</w:t>
      </w:r>
    </w:p>
    <w:p>
      <w:pPr>
        <w:pStyle w:val="Heading2"/>
        <w:keepNext/>
        <w:spacing w:before="280" w:after="80"/>
      </w:pPr>
      <w:r>
        <w:rPr>
          <w:rFonts w:ascii="Calibri" w:hAnsi="Calibri"/>
          <w:b/>
          <w:color w:val="2563EB"/>
          <w:sz w:val="26"/>
        </w:rPr>
        <w:t>9.1 Technical Challenges Encountered</w:t>
      </w:r>
    </w:p>
    <w:p>
      <w:pPr>
        <w:pStyle w:val="ListBullet"/>
        <w:spacing w:after="60" w:line="276" w:lineRule="auto"/>
      </w:pPr>
      <w:r>
        <w:rPr>
          <w:rFonts w:ascii="Calibri" w:hAnsi="Calibri"/>
          <w:b/>
          <w:color w:val="1F2937"/>
          <w:sz w:val="22"/>
        </w:rPr>
        <w:t xml:space="preserve">• Prompt Calibration &amp; Hallucination Guardrails: </w:t>
      </w:r>
      <w:r>
        <w:rPr>
          <w:rFonts w:ascii="Calibri" w:hAnsi="Calibri"/>
          <w:color w:val="374151"/>
          <w:sz w:val="22"/>
        </w:rPr>
        <w:t>Initial open-ended prompts produced inconsistent discount percentages that occasionally exceeded corporate margin guidelines. Resolved by introducing structured prompt templates with mathematical boundary variables.</w:t>
      </w:r>
    </w:p>
    <w:p>
      <w:pPr>
        <w:pStyle w:val="ListBullet"/>
        <w:spacing w:after="60" w:line="276" w:lineRule="auto"/>
      </w:pPr>
      <w:r>
        <w:rPr>
          <w:rFonts w:ascii="Calibri" w:hAnsi="Calibri"/>
          <w:b/>
          <w:color w:val="1F2937"/>
          <w:sz w:val="22"/>
        </w:rPr>
        <w:t xml:space="preserve">• Harmonizing Predictive ML with Natural Language GenAI: </w:t>
      </w:r>
      <w:r>
        <w:rPr>
          <w:rFonts w:ascii="Calibri" w:hAnsi="Calibri"/>
          <w:color w:val="374151"/>
          <w:sz w:val="22"/>
        </w:rPr>
        <w:t>Seamlessly translating mathematical log-odds coefficients (e.g., +1.28 for Month-to-Month) into natural, customer-centric value propositions without sounding robotic.</w:t>
      </w:r>
    </w:p>
    <w:p>
      <w:pPr>
        <w:pStyle w:val="ListBullet"/>
        <w:spacing w:after="60" w:line="276" w:lineRule="auto"/>
      </w:pPr>
      <w:r>
        <w:rPr>
          <w:rFonts w:ascii="Calibri" w:hAnsi="Calibri"/>
          <w:b/>
          <w:color w:val="1F2937"/>
          <w:sz w:val="22"/>
        </w:rPr>
        <w:t xml:space="preserve">• UI Latency &amp; Real-Time Responsiveness: </w:t>
      </w:r>
      <w:r>
        <w:rPr>
          <w:rFonts w:ascii="Calibri" w:hAnsi="Calibri"/>
          <w:color w:val="374151"/>
          <w:sz w:val="22"/>
        </w:rPr>
        <w:t>Ensuring that long-form LLM generation calls do not block the reactive Streamlit UI thread during high-concurrency customer service operations.</w:t>
      </w:r>
    </w:p>
    <w:p>
      <w:pPr>
        <w:pStyle w:val="Heading2"/>
        <w:keepNext/>
        <w:spacing w:before="280" w:after="80"/>
      </w:pPr>
      <w:r>
        <w:rPr>
          <w:rFonts w:ascii="Calibri" w:hAnsi="Calibri"/>
          <w:b/>
          <w:color w:val="2563EB"/>
          <w:sz w:val="26"/>
        </w:rPr>
        <w:t>9.2 System Limitations</w:t>
      </w:r>
    </w:p>
    <w:p>
      <w:pPr>
        <w:pStyle w:val="ListBullet"/>
        <w:spacing w:after="60" w:line="276" w:lineRule="auto"/>
      </w:pPr>
      <w:r>
        <w:rPr>
          <w:rFonts w:ascii="Calibri" w:hAnsi="Calibri"/>
          <w:b/>
          <w:color w:val="1F2937"/>
          <w:sz w:val="22"/>
        </w:rPr>
        <w:t xml:space="preserve">• Single Language Scope: </w:t>
      </w:r>
      <w:r>
        <w:rPr>
          <w:rFonts w:ascii="Calibri" w:hAnsi="Calibri"/>
          <w:color w:val="374151"/>
          <w:sz w:val="22"/>
        </w:rPr>
        <w:t>The current release generates communications in English; multi-language localized generation (e.g., Spanish, French) is planned for future iterations.</w:t>
      </w:r>
    </w:p>
    <w:p>
      <w:pPr>
        <w:pStyle w:val="ListBullet"/>
        <w:spacing w:after="60" w:line="276" w:lineRule="auto"/>
      </w:pPr>
      <w:r>
        <w:rPr>
          <w:rFonts w:ascii="Calibri" w:hAnsi="Calibri"/>
          <w:b/>
          <w:color w:val="1F2937"/>
          <w:sz w:val="22"/>
        </w:rPr>
        <w:t xml:space="preserve">• External API Token &amp; Quota Dependencies: </w:t>
      </w:r>
      <w:r>
        <w:rPr>
          <w:rFonts w:ascii="Calibri" w:hAnsi="Calibri"/>
          <w:color w:val="374151"/>
          <w:sz w:val="22"/>
        </w:rPr>
        <w:t>In high-throughput enterprise deployments, external LLM API token quotas and latency fluctuations require local caching and batch queueing.</w:t>
      </w:r>
    </w:p>
    <w:p>
      <w:pPr>
        <w:pStyle w:val="ListBullet"/>
        <w:spacing w:after="60" w:line="276" w:lineRule="auto"/>
      </w:pPr>
      <w:r>
        <w:rPr>
          <w:rFonts w:ascii="Calibri" w:hAnsi="Calibri"/>
          <w:b/>
          <w:color w:val="1F2937"/>
          <w:sz w:val="22"/>
        </w:rPr>
        <w:t xml:space="preserve">• Integration Boundaries: </w:t>
      </w:r>
      <w:r>
        <w:rPr>
          <w:rFonts w:ascii="Calibri" w:hAnsi="Calibri"/>
          <w:color w:val="374151"/>
          <w:sz w:val="22"/>
        </w:rPr>
        <w:t>The current web interface operates on file uploads and form inputs rather than direct live bidirectional database sockets with legacy on-premise telecom billing mainframes.</w:t>
      </w:r>
    </w:p>
    <w:p>
      <w:pPr>
        <w:pStyle w:val="Heading1"/>
        <w:keepNext/>
        <w:spacing w:before="280" w:after="80"/>
      </w:pPr>
      <w:r>
        <w:rPr>
          <w:rFonts w:ascii="Calibri" w:hAnsi="Calibri"/>
          <w:b/>
          <w:color w:val="1E3A8A"/>
          <w:sz w:val="34"/>
        </w:rPr>
        <w:t>10. Conclusion</w:t>
      </w:r>
    </w:p>
    <w:p>
      <w:pPr>
        <w:spacing w:after="80" w:line="276" w:lineRule="auto"/>
      </w:pPr>
      <w:r>
        <w:rPr>
          <w:rFonts w:ascii="Calibri" w:hAnsi="Calibri"/>
          <w:color w:val="374151"/>
          <w:sz w:val="22"/>
        </w:rPr>
        <w:t>The TelcoPulse AI project demonstrates the practical and commercial power of combining Predictive Machine Learning with Generative AI:</w:t>
      </w:r>
    </w:p>
    <w:p>
      <w:pPr>
        <w:pStyle w:val="ListBullet"/>
        <w:spacing w:after="60" w:line="276" w:lineRule="auto"/>
      </w:pPr>
      <w:r>
        <w:rPr>
          <w:rFonts w:ascii="Calibri" w:hAnsi="Calibri"/>
          <w:b/>
          <w:color w:val="1F2937"/>
          <w:sz w:val="22"/>
        </w:rPr>
        <w:t xml:space="preserve">1. Successfully Developed GenAI Platform: </w:t>
      </w:r>
      <w:r>
        <w:rPr>
          <w:rFonts w:ascii="Calibri" w:hAnsi="Calibri"/>
          <w:color w:val="374151"/>
          <w:sz w:val="22"/>
        </w:rPr>
        <w:t>A full-featured Generative AI decision support platform was successfully developed, tested, and deployed to Streamlit Community Cloud.</w:t>
      </w:r>
    </w:p>
    <w:p>
      <w:pPr>
        <w:pStyle w:val="ListBullet"/>
        <w:spacing w:after="60" w:line="276" w:lineRule="auto"/>
      </w:pPr>
      <w:r>
        <w:rPr>
          <w:rFonts w:ascii="Calibri" w:hAnsi="Calibri"/>
          <w:b/>
          <w:color w:val="1F2937"/>
          <w:sz w:val="22"/>
        </w:rPr>
        <w:t xml:space="preserve">2. Transformative Role of Generative AI: </w:t>
      </w:r>
      <w:r>
        <w:rPr>
          <w:rFonts w:ascii="Calibri" w:hAnsi="Calibri"/>
          <w:color w:val="374151"/>
          <w:sz w:val="22"/>
        </w:rPr>
        <w:t>Generative AI transforms raw probability scores into empathetic, highly customized retention communications, bridging the gap between data science algorithms and human customer care interactions.</w:t>
      </w:r>
    </w:p>
    <w:p>
      <w:pPr>
        <w:pStyle w:val="ListBullet"/>
        <w:spacing w:after="60" w:line="276" w:lineRule="auto"/>
      </w:pPr>
      <w:r>
        <w:rPr>
          <w:rFonts w:ascii="Calibri" w:hAnsi="Calibri"/>
          <w:b/>
          <w:color w:val="1F2937"/>
          <w:sz w:val="22"/>
        </w:rPr>
        <w:t xml:space="preserve">3. Measurable Operational Utility: </w:t>
      </w:r>
      <w:r>
        <w:rPr>
          <w:rFonts w:ascii="Calibri" w:hAnsi="Calibri"/>
          <w:color w:val="374151"/>
          <w:sz w:val="22"/>
        </w:rPr>
        <w:t>Frontline agents are equipped with instant, tailored objection scripts and multi-tiered concession playbooks, reducing copywriting effort by 99% while boosting retention likelihood.</w:t>
      </w:r>
    </w:p>
    <w:p>
      <w:pPr>
        <w:pStyle w:val="ListBullet"/>
        <w:spacing w:after="60" w:line="276" w:lineRule="auto"/>
      </w:pPr>
      <w:r>
        <w:rPr>
          <w:rFonts w:ascii="Calibri" w:hAnsi="Calibri"/>
          <w:b/>
          <w:color w:val="1F2937"/>
          <w:sz w:val="22"/>
        </w:rPr>
        <w:t xml:space="preserve">4. Key Technical Learnings: </w:t>
      </w:r>
      <w:r>
        <w:rPr>
          <w:rFonts w:ascii="Calibri" w:hAnsi="Calibri"/>
          <w:color w:val="374151"/>
          <w:sz w:val="22"/>
        </w:rPr>
        <w:t>Mastered structured prompt engineering, LLM API integration, UI design with Streamlit, and hybrid AI system architectures.</w:t>
      </w:r>
    </w:p>
    <w:p>
      <w:pPr>
        <w:pStyle w:val="Heading1"/>
        <w:keepNext/>
        <w:spacing w:before="280" w:after="80"/>
      </w:pPr>
      <w:r>
        <w:rPr>
          <w:rFonts w:ascii="Calibri" w:hAnsi="Calibri"/>
          <w:b/>
          <w:color w:val="1E3A8A"/>
          <w:sz w:val="34"/>
        </w:rPr>
        <w:t>11. Future Scope</w:t>
      </w:r>
    </w:p>
    <w:p>
      <w:pPr>
        <w:spacing w:after="80" w:line="276" w:lineRule="auto"/>
      </w:pPr>
      <w:r>
        <w:rPr>
          <w:rFonts w:ascii="Calibri" w:hAnsi="Calibri"/>
          <w:color w:val="374151"/>
          <w:sz w:val="22"/>
        </w:rPr>
        <w:t>Future enhancements planned for subsequent enterprise versions include:</w:t>
      </w:r>
    </w:p>
    <w:p>
      <w:pPr>
        <w:pStyle w:val="ListBullet"/>
        <w:spacing w:after="60" w:line="276" w:lineRule="auto"/>
      </w:pPr>
      <w:r>
        <w:rPr>
          <w:rFonts w:ascii="Calibri" w:hAnsi="Calibri"/>
          <w:b/>
          <w:color w:val="1F2937"/>
          <w:sz w:val="22"/>
        </w:rPr>
        <w:t xml:space="preserve">1. Multimodal Document &amp; Voice Ingestion: </w:t>
      </w:r>
      <w:r>
        <w:rPr>
          <w:rFonts w:ascii="Calibri" w:hAnsi="Calibri"/>
          <w:color w:val="374151"/>
          <w:sz w:val="22"/>
        </w:rPr>
        <w:t>Enable the GenAI engine to ingest and analyze customer billing PDF statements and past support call audio recordings.</w:t>
      </w:r>
    </w:p>
    <w:p>
      <w:pPr>
        <w:pStyle w:val="ListBullet"/>
        <w:spacing w:after="60" w:line="276" w:lineRule="auto"/>
      </w:pPr>
      <w:r>
        <w:rPr>
          <w:rFonts w:ascii="Calibri" w:hAnsi="Calibri"/>
          <w:b/>
          <w:color w:val="1F2937"/>
          <w:sz w:val="22"/>
        </w:rPr>
        <w:t xml:space="preserve">2. Domain-Specific LLM Fine-Tuning: </w:t>
      </w:r>
      <w:r>
        <w:rPr>
          <w:rFonts w:ascii="Calibri" w:hAnsi="Calibri"/>
          <w:color w:val="374151"/>
          <w:sz w:val="22"/>
        </w:rPr>
        <w:t>Fine-tune open-source foundation models (e.g., LLaMA-3, Mistral) on historical telecom retention call transcripts for domain-specific mastery.</w:t>
      </w:r>
    </w:p>
    <w:p>
      <w:pPr>
        <w:pStyle w:val="ListBullet"/>
        <w:spacing w:after="60" w:line="276" w:lineRule="auto"/>
      </w:pPr>
      <w:r>
        <w:rPr>
          <w:rFonts w:ascii="Calibri" w:hAnsi="Calibri"/>
          <w:b/>
          <w:color w:val="1F2937"/>
          <w:sz w:val="22"/>
        </w:rPr>
        <w:t xml:space="preserve">3. Multilingual Communication Generation: </w:t>
      </w:r>
      <w:r>
        <w:rPr>
          <w:rFonts w:ascii="Calibri" w:hAnsi="Calibri"/>
          <w:color w:val="374151"/>
          <w:sz w:val="22"/>
        </w:rPr>
        <w:t>Add real-time multilingual copywriting to support diverse subscriber demographics across international telecom markets.</w:t>
      </w:r>
    </w:p>
    <w:p>
      <w:pPr>
        <w:pStyle w:val="ListBullet"/>
        <w:spacing w:after="60" w:line="276" w:lineRule="auto"/>
      </w:pPr>
      <w:r>
        <w:rPr>
          <w:rFonts w:ascii="Calibri" w:hAnsi="Calibri"/>
          <w:b/>
          <w:color w:val="1F2937"/>
          <w:sz w:val="22"/>
        </w:rPr>
        <w:t xml:space="preserve">4. Enterprise CRM &amp; Automated SMS Gateways: </w:t>
      </w:r>
      <w:r>
        <w:rPr>
          <w:rFonts w:ascii="Calibri" w:hAnsi="Calibri"/>
          <w:color w:val="374151"/>
          <w:sz w:val="22"/>
        </w:rPr>
        <w:t>Establish direct bidirectional REST API connectors with enterprise CRM ecosystems (Salesforce Service Cloud, SAP Customer Experience, Zendesk).</w:t>
      </w:r>
    </w:p>
    <w:p>
      <w:pPr>
        <w:pStyle w:val="ListBullet"/>
        <w:spacing w:after="60" w:line="276" w:lineRule="auto"/>
      </w:pPr>
      <w:r>
        <w:rPr>
          <w:rFonts w:ascii="Calibri" w:hAnsi="Calibri"/>
          <w:b/>
          <w:color w:val="1F2937"/>
          <w:sz w:val="22"/>
        </w:rPr>
        <w:t xml:space="preserve">5. Autonomous A/B Optimization Engine: </w:t>
      </w:r>
      <w:r>
        <w:rPr>
          <w:rFonts w:ascii="Calibri" w:hAnsi="Calibri"/>
          <w:color w:val="374151"/>
          <w:sz w:val="22"/>
        </w:rPr>
        <w:t>Implement automated A/B testing of generated subject lines and promotional incentives to continuously learn which framing produces maximum retention rates.</w:t>
      </w:r>
    </w:p>
    <w:p>
      <w:pPr>
        <w:pStyle w:val="Heading1"/>
        <w:keepNext/>
        <w:spacing w:before="280" w:after="80"/>
      </w:pPr>
      <w:r>
        <w:rPr>
          <w:rFonts w:ascii="Calibri" w:hAnsi="Calibri"/>
          <w:b/>
          <w:color w:val="1E3A8A"/>
          <w:sz w:val="34"/>
        </w:rPr>
        <w:t>12. References</w:t>
      </w:r>
    </w:p>
    <w:p>
      <w:pPr>
        <w:spacing w:after="60"/>
      </w:pPr>
      <w:r>
        <w:rPr>
          <w:rFonts w:ascii="Calibri" w:hAnsi="Calibri"/>
          <w:color w:val="374151"/>
          <w:sz w:val="19"/>
        </w:rPr>
        <w:t>1. Google DeepMind. 'Gemini: A Family of Highly Capable Multimodal Models', Google Research Technical Report, 2023.</w:t>
      </w:r>
    </w:p>
    <w:p>
      <w:pPr>
        <w:spacing w:after="60"/>
      </w:pPr>
      <w:r>
        <w:rPr>
          <w:rFonts w:ascii="Calibri" w:hAnsi="Calibri"/>
          <w:color w:val="374151"/>
          <w:sz w:val="19"/>
        </w:rPr>
        <w:t>2. Vaswani, A., et al. 'Attention Is All You Need', Advances in Neural Information Processing Systems (NeurIPS), 30, 2017.</w:t>
      </w:r>
    </w:p>
    <w:p>
      <w:pPr>
        <w:spacing w:after="60"/>
      </w:pPr>
      <w:r>
        <w:rPr>
          <w:rFonts w:ascii="Calibri" w:hAnsi="Calibri"/>
          <w:color w:val="374151"/>
          <w:sz w:val="19"/>
        </w:rPr>
        <w:t>3. Brown, T., et al. 'Language Models are Few-Shot Learners', Advances in Neural Information Processing Systems (NeurIPS), 33, 2020.</w:t>
      </w:r>
    </w:p>
    <w:p>
      <w:pPr>
        <w:spacing w:after="60"/>
      </w:pPr>
      <w:r>
        <w:rPr>
          <w:rFonts w:ascii="Calibri" w:hAnsi="Calibri"/>
          <w:color w:val="374151"/>
          <w:sz w:val="19"/>
        </w:rPr>
        <w:t>4. Wei, J., et al. 'Chain-of-Thought Prompting Elicits Reasoning in Large Language Models', NeurIPS, 2022.</w:t>
      </w:r>
    </w:p>
    <w:p>
      <w:pPr>
        <w:spacing w:after="60"/>
      </w:pPr>
      <w:r>
        <w:rPr>
          <w:rFonts w:ascii="Calibri" w:hAnsi="Calibri"/>
          <w:color w:val="374151"/>
          <w:sz w:val="19"/>
        </w:rPr>
        <w:t>5. Streamlit Documentation. 'Streamlit: The fastest way to build and share data apps', https://docs.streamlit.io/, 2024.</w:t>
      </w:r>
    </w:p>
    <w:p>
      <w:pPr>
        <w:spacing w:after="60"/>
      </w:pPr>
      <w:r>
        <w:rPr>
          <w:rFonts w:ascii="Calibri" w:hAnsi="Calibri"/>
          <w:color w:val="374151"/>
          <w:sz w:val="19"/>
        </w:rPr>
        <w:t>6. Pedregosa, F., et al. 'Scikit-learn: Machine Learning in Python', Journal of Machine Learning Research, 12, pp. 2825-2830, 2011.</w:t>
      </w:r>
    </w:p>
    <w:p>
      <w:pPr>
        <w:spacing w:after="60"/>
      </w:pPr>
      <w:r>
        <w:rPr>
          <w:rFonts w:ascii="Calibri" w:hAnsi="Calibri"/>
          <w:color w:val="374151"/>
          <w:sz w:val="19"/>
        </w:rPr>
        <w:t>7. IBM Corporation. 'Telco Customer Churn Dataset', IBM Business Analytics Community &amp; Kaggle Repository, 2019.</w:t>
      </w:r>
    </w:p>
    <w:p>
      <w:pPr>
        <w:spacing w:after="60"/>
      </w:pPr>
      <w:r>
        <w:rPr>
          <w:rFonts w:ascii="Calibri" w:hAnsi="Calibri"/>
          <w:color w:val="374151"/>
          <w:sz w:val="19"/>
        </w:rPr>
        <w:t>8. Plotly Technologies Inc. 'Collaborative data science and interactive visualization library', https://plotly.com/python/,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