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1E3A8A"/>
          <w:sz w:val="44"/>
        </w:rPr>
        <w:t>TELECOM CUSTOMER CHURN PREDICTION &amp;</w:t>
        <w:br/>
        <w:t>RETENTION INTELLIGENCE SYSTEM</w:t>
        <w:br/>
        <w:t>(TelcoPulse AI)</w:t>
      </w:r>
    </w:p>
    <w:p>
      <w:pPr>
        <w:spacing w:after="800"/>
        <w:jc w:val="center"/>
      </w:pPr>
      <w:r>
        <w:rPr>
          <w:rFonts w:ascii="Calibri" w:hAnsi="Calibri"/>
          <w:i/>
          <w:color w:val="4B5563"/>
          <w:sz w:val="24"/>
        </w:rPr>
        <w:t>A Machine Learning &amp; Explainable Decision Support System for Proactive Customer Retention</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Pr>
          <w:p>
            <w:pPr>
              <w:jc w:val="center"/>
            </w:pPr>
            <w:r>
              <w:rPr>
                <w:rFonts w:ascii="Calibri" w:hAnsi="Calibri"/>
                <w:b/>
                <w:color w:val="1E3A8A"/>
                <w:sz w:val="23"/>
              </w:rPr>
              <w:t xml:space="preserve">Student Name: </w:t>
            </w:r>
            <w:r>
              <w:rPr>
                <w:rFonts w:ascii="Calibri" w:hAnsi="Calibri"/>
                <w:color w:val="1F2937"/>
                <w:sz w:val="23"/>
              </w:rPr>
              <w:t>Anaganti Sairishikesh</w:t>
              <w:br/>
            </w:r>
            <w:r>
              <w:rPr>
                <w:rFonts w:ascii="Calibri" w:hAnsi="Calibri"/>
                <w:b/>
                <w:color w:val="1E3A8A"/>
                <w:sz w:val="23"/>
              </w:rPr>
              <w:t xml:space="preserve">College Name: </w:t>
            </w:r>
            <w:r>
              <w:rPr>
                <w:rFonts w:ascii="Calibri" w:hAnsi="Calibri"/>
                <w:color w:val="1F2937"/>
                <w:sz w:val="23"/>
              </w:rPr>
              <w:t>Engineering &amp; Technology Institute / University</w:t>
              <w:br/>
            </w:r>
            <w:r>
              <w:rPr>
                <w:rFonts w:ascii="Calibri" w:hAnsi="Calibri"/>
                <w:b/>
                <w:color w:val="1E3A8A"/>
                <w:sz w:val="23"/>
              </w:rPr>
              <w:t xml:space="preserve">Department: </w:t>
            </w:r>
            <w:r>
              <w:rPr>
                <w:rFonts w:ascii="Calibri" w:hAnsi="Calibri"/>
                <w:color w:val="1F2937"/>
                <w:sz w:val="23"/>
              </w:rPr>
              <w:t>Department of Computer Science and Engineering</w:t>
              <w:br/>
            </w:r>
            <w:r>
              <w:rPr>
                <w:rFonts w:ascii="Calibri" w:hAnsi="Calibri"/>
                <w:b/>
                <w:color w:val="1E3A8A"/>
                <w:sz w:val="23"/>
              </w:rPr>
              <w:t xml:space="preserve">Academic Year: </w:t>
            </w:r>
            <w:r>
              <w:rPr>
                <w:rFonts w:ascii="Calibri" w:hAnsi="Calibri"/>
                <w:color w:val="1F2937"/>
                <w:sz w:val="23"/>
              </w:rPr>
              <w:t>Final / Pre-Final Year (2025 - 2026)</w:t>
              <w:br/>
            </w:r>
            <w:r>
              <w:rPr>
                <w:rFonts w:ascii="Calibri" w:hAnsi="Calibri"/>
                <w:b/>
                <w:color w:val="1E3A8A"/>
                <w:sz w:val="23"/>
              </w:rPr>
              <w:t xml:space="preserve">Project Domain: </w:t>
            </w:r>
            <w:r>
              <w:rPr>
                <w:rFonts w:ascii="Calibri" w:hAnsi="Calibri"/>
                <w:color w:val="1F2937"/>
                <w:sz w:val="23"/>
              </w:rPr>
              <w:t>Artificial Intelligence &amp; Machine Learning (AI/ML)</w:t>
              <w:br/>
            </w:r>
            <w:r>
              <w:rPr>
                <w:rFonts w:ascii="Calibri" w:hAnsi="Calibri"/>
                <w:b/>
                <w:color w:val="1E3A8A"/>
                <w:sz w:val="23"/>
              </w:rPr>
              <w:t xml:space="preserve">Application Deployment: </w:t>
            </w:r>
            <w:r>
              <w:rPr>
                <w:rFonts w:ascii="Calibri" w:hAnsi="Calibri"/>
                <w:color w:val="1F2937"/>
                <w:sz w:val="23"/>
              </w:rPr>
              <w:t>Streamlit Cloud Production Application</w:t>
              <w:br/>
            </w:r>
          </w:p>
        </w:tc>
      </w:tr>
    </w:tbl>
    <w:p>
      <w:r>
        <w:br w:type="page"/>
      </w:r>
    </w:p>
    <w:p>
      <w:pPr>
        <w:pStyle w:val="Heading1"/>
        <w:keepNext/>
        <w:spacing w:before="280" w:after="80"/>
      </w:pPr>
      <w:r>
        <w:rPr>
          <w:rFonts w:ascii="Calibri" w:hAnsi="Calibri"/>
          <w:b/>
          <w:color w:val="1E3A8A"/>
          <w:sz w:val="34"/>
        </w:rPr>
        <w:t>Index</w:t>
      </w:r>
    </w:p>
    <w:tbl>
      <w:tblPr>
        <w:tblW w:type="auto" w:w="0"/>
        <w:jc w:val="center"/>
        <w:tblLook w:firstColumn="1" w:firstRow="1" w:lastColumn="0" w:lastRow="0" w:noHBand="0" w:noVBand="1" w:val="04A0"/>
      </w:tblPr>
      <w:tblGrid>
        <w:gridCol w:w="3120"/>
        <w:gridCol w:w="3120"/>
        <w:gridCol w:w="3120"/>
      </w:tblGrid>
      <w:tr>
        <w:tc>
          <w:tcPr>
            <w:tcW w:type="dxa" w:w="1152"/>
            <w:shd w:fill="1E3A8A"/>
            <w:tcMar>
              <w:top w:w="100" w:type="dxa"/>
              <w:bottom w:w="100" w:type="dxa"/>
              <w:left w:w="100" w:type="dxa"/>
              <w:right w:w="100" w:type="dxa"/>
            </w:tcMar>
          </w:tcPr>
          <w:p>
            <w:pPr>
              <w:jc w:val="center"/>
            </w:pPr>
            <w:r>
              <w:rPr>
                <w:rFonts w:ascii="Calibri" w:hAnsi="Calibri"/>
                <w:b/>
                <w:color w:val="FFFFFF"/>
                <w:sz w:val="19"/>
              </w:rPr>
              <w:t>S.No</w:t>
            </w:r>
          </w:p>
        </w:tc>
        <w:tc>
          <w:tcPr>
            <w:tcW w:type="dxa" w:w="6768"/>
            <w:shd w:fill="1E3A8A"/>
            <w:tcMar>
              <w:top w:w="100" w:type="dxa"/>
              <w:bottom w:w="100" w:type="dxa"/>
              <w:left w:w="100" w:type="dxa"/>
              <w:right w:w="100" w:type="dxa"/>
            </w:tcMar>
          </w:tcPr>
          <w:p>
            <w:pPr>
              <w:jc w:val="center"/>
            </w:pPr>
            <w:r>
              <w:rPr>
                <w:rFonts w:ascii="Calibri" w:hAnsi="Calibri"/>
                <w:b/>
                <w:color w:val="FFFFFF"/>
                <w:sz w:val="19"/>
              </w:rPr>
              <w:t>Topic / Chapter Name</w:t>
            </w:r>
          </w:p>
        </w:tc>
        <w:tc>
          <w:tcPr>
            <w:tcW w:type="dxa" w:w="1440"/>
            <w:shd w:fill="1E3A8A"/>
            <w:tcMar>
              <w:top w:w="100" w:type="dxa"/>
              <w:bottom w:w="100" w:type="dxa"/>
              <w:left w:w="100" w:type="dxa"/>
              <w:right w:w="100" w:type="dxa"/>
            </w:tcMar>
          </w:tcPr>
          <w:p>
            <w:pPr>
              <w:jc w:val="center"/>
            </w:pPr>
            <w:r>
              <w:rPr>
                <w:rFonts w:ascii="Calibri" w:hAnsi="Calibri"/>
                <w:b/>
                <w:color w:val="FFFFFF"/>
                <w:sz w:val="19"/>
              </w:rPr>
              <w:t>Page No.</w:t>
            </w:r>
          </w:p>
        </w:tc>
      </w:tr>
      <w:tr>
        <w:tc>
          <w:tcPr>
            <w:tcW w:type="dxa" w:w="1152"/>
            <w:shd w:fill="FFFFFF"/>
            <w:tcMar>
              <w:top w:w="70" w:type="dxa"/>
              <w:bottom w:w="70" w:type="dxa"/>
              <w:left w:w="90" w:type="dxa"/>
              <w:right w:w="90" w:type="dxa"/>
            </w:tcMar>
          </w:tcPr>
          <w:p>
            <w:pPr>
              <w:jc w:val="left"/>
            </w:pPr>
            <w:r>
              <w:rPr>
                <w:rFonts w:ascii="Calibri" w:hAnsi="Calibri"/>
                <w:color w:val="1F2937"/>
                <w:sz w:val="18"/>
              </w:rPr>
              <w:t>1</w:t>
            </w:r>
          </w:p>
        </w:tc>
        <w:tc>
          <w:tcPr>
            <w:tcW w:type="dxa" w:w="6768"/>
            <w:shd w:fill="FFFFFF"/>
            <w:tcMar>
              <w:top w:w="70" w:type="dxa"/>
              <w:bottom w:w="70" w:type="dxa"/>
              <w:left w:w="90" w:type="dxa"/>
              <w:right w:w="90" w:type="dxa"/>
            </w:tcMar>
          </w:tcPr>
          <w:p>
            <w:pPr>
              <w:jc w:val="center"/>
            </w:pPr>
            <w:r>
              <w:rPr>
                <w:rFonts w:ascii="Calibri" w:hAnsi="Calibri"/>
                <w:color w:val="1F2937"/>
                <w:sz w:val="18"/>
              </w:rPr>
              <w:t>Introduction</w:t>
            </w:r>
          </w:p>
        </w:tc>
        <w:tc>
          <w:tcPr>
            <w:tcW w:type="dxa" w:w="1440"/>
            <w:shd w:fill="FFFFFF"/>
            <w:tcMar>
              <w:top w:w="70" w:type="dxa"/>
              <w:bottom w:w="70" w:type="dxa"/>
              <w:left w:w="90" w:type="dxa"/>
              <w:right w:w="90" w:type="dxa"/>
            </w:tcMar>
          </w:tcPr>
          <w:p>
            <w:pPr>
              <w:jc w:val="center"/>
            </w:pPr>
            <w:r>
              <w:rPr>
                <w:rFonts w:ascii="Calibri" w:hAnsi="Calibri"/>
                <w:color w:val="1F2937"/>
                <w:sz w:val="18"/>
              </w:rPr>
              <w:t>3</w:t>
            </w:r>
          </w:p>
        </w:tc>
      </w:tr>
      <w:tr>
        <w:tc>
          <w:tcPr>
            <w:tcW w:type="dxa" w:w="1152"/>
            <w:shd w:fill="F8FAFC"/>
            <w:tcMar>
              <w:top w:w="70" w:type="dxa"/>
              <w:bottom w:w="70" w:type="dxa"/>
              <w:left w:w="90" w:type="dxa"/>
              <w:right w:w="90" w:type="dxa"/>
            </w:tcMar>
          </w:tcPr>
          <w:p>
            <w:pPr>
              <w:jc w:val="left"/>
            </w:pPr>
            <w:r>
              <w:rPr>
                <w:rFonts w:ascii="Calibri" w:hAnsi="Calibri"/>
                <w:color w:val="1F2937"/>
                <w:sz w:val="18"/>
              </w:rPr>
              <w:t>2</w:t>
            </w:r>
          </w:p>
        </w:tc>
        <w:tc>
          <w:tcPr>
            <w:tcW w:type="dxa" w:w="6768"/>
            <w:shd w:fill="F8FAFC"/>
            <w:tcMar>
              <w:top w:w="70" w:type="dxa"/>
              <w:bottom w:w="70" w:type="dxa"/>
              <w:left w:w="90" w:type="dxa"/>
              <w:right w:w="90" w:type="dxa"/>
            </w:tcMar>
          </w:tcPr>
          <w:p>
            <w:pPr>
              <w:jc w:val="center"/>
            </w:pPr>
            <w:r>
              <w:rPr>
                <w:rFonts w:ascii="Calibri" w:hAnsi="Calibri"/>
                <w:color w:val="1F2937"/>
                <w:sz w:val="18"/>
              </w:rPr>
              <w:t>Problem Statement</w:t>
            </w:r>
          </w:p>
        </w:tc>
        <w:tc>
          <w:tcPr>
            <w:tcW w:type="dxa" w:w="1440"/>
            <w:shd w:fill="F8FAFC"/>
            <w:tcMar>
              <w:top w:w="70" w:type="dxa"/>
              <w:bottom w:w="70" w:type="dxa"/>
              <w:left w:w="90" w:type="dxa"/>
              <w:right w:w="90" w:type="dxa"/>
            </w:tcMar>
          </w:tcPr>
          <w:p>
            <w:pPr>
              <w:jc w:val="center"/>
            </w:pPr>
            <w:r>
              <w:rPr>
                <w:rFonts w:ascii="Calibri" w:hAnsi="Calibri"/>
                <w:color w:val="1F2937"/>
                <w:sz w:val="18"/>
              </w:rPr>
              <w:t>4</w:t>
            </w:r>
          </w:p>
        </w:tc>
      </w:tr>
      <w:tr>
        <w:tc>
          <w:tcPr>
            <w:tcW w:type="dxa" w:w="1152"/>
            <w:shd w:fill="FFFFFF"/>
            <w:tcMar>
              <w:top w:w="70" w:type="dxa"/>
              <w:bottom w:w="70" w:type="dxa"/>
              <w:left w:w="90" w:type="dxa"/>
              <w:right w:w="90" w:type="dxa"/>
            </w:tcMar>
          </w:tcPr>
          <w:p>
            <w:pPr>
              <w:jc w:val="left"/>
            </w:pPr>
            <w:r>
              <w:rPr>
                <w:rFonts w:ascii="Calibri" w:hAnsi="Calibri"/>
                <w:color w:val="1F2937"/>
                <w:sz w:val="18"/>
              </w:rPr>
              <w:t>3</w:t>
            </w:r>
          </w:p>
        </w:tc>
        <w:tc>
          <w:tcPr>
            <w:tcW w:type="dxa" w:w="6768"/>
            <w:shd w:fill="FFFFFF"/>
            <w:tcMar>
              <w:top w:w="70" w:type="dxa"/>
              <w:bottom w:w="70" w:type="dxa"/>
              <w:left w:w="90" w:type="dxa"/>
              <w:right w:w="90" w:type="dxa"/>
            </w:tcMar>
          </w:tcPr>
          <w:p>
            <w:pPr>
              <w:jc w:val="center"/>
            </w:pPr>
            <w:r>
              <w:rPr>
                <w:rFonts w:ascii="Calibri" w:hAnsi="Calibri"/>
                <w:color w:val="1F2937"/>
                <w:sz w:val="18"/>
              </w:rPr>
              <w:t>Objectives</w:t>
            </w:r>
          </w:p>
        </w:tc>
        <w:tc>
          <w:tcPr>
            <w:tcW w:type="dxa" w:w="1440"/>
            <w:shd w:fill="FFFFFF"/>
            <w:tcMar>
              <w:top w:w="70" w:type="dxa"/>
              <w:bottom w:w="70" w:type="dxa"/>
              <w:left w:w="90" w:type="dxa"/>
              <w:right w:w="90" w:type="dxa"/>
            </w:tcMar>
          </w:tcPr>
          <w:p>
            <w:pPr>
              <w:jc w:val="center"/>
            </w:pPr>
            <w:r>
              <w:rPr>
                <w:rFonts w:ascii="Calibri" w:hAnsi="Calibri"/>
                <w:color w:val="1F2937"/>
                <w:sz w:val="18"/>
              </w:rPr>
              <w:t>4</w:t>
            </w:r>
          </w:p>
        </w:tc>
      </w:tr>
      <w:tr>
        <w:tc>
          <w:tcPr>
            <w:tcW w:type="dxa" w:w="1152"/>
            <w:shd w:fill="F8FAFC"/>
            <w:tcMar>
              <w:top w:w="70" w:type="dxa"/>
              <w:bottom w:w="70" w:type="dxa"/>
              <w:left w:w="90" w:type="dxa"/>
              <w:right w:w="90" w:type="dxa"/>
            </w:tcMar>
          </w:tcPr>
          <w:p>
            <w:pPr>
              <w:jc w:val="left"/>
            </w:pPr>
            <w:r>
              <w:rPr>
                <w:rFonts w:ascii="Calibri" w:hAnsi="Calibri"/>
                <w:color w:val="1F2937"/>
                <w:sz w:val="18"/>
              </w:rPr>
              <w:t>4</w:t>
            </w:r>
          </w:p>
        </w:tc>
        <w:tc>
          <w:tcPr>
            <w:tcW w:type="dxa" w:w="6768"/>
            <w:shd w:fill="F8FAFC"/>
            <w:tcMar>
              <w:top w:w="70" w:type="dxa"/>
              <w:bottom w:w="70" w:type="dxa"/>
              <w:left w:w="90" w:type="dxa"/>
              <w:right w:w="90" w:type="dxa"/>
            </w:tcMar>
          </w:tcPr>
          <w:p>
            <w:pPr>
              <w:jc w:val="center"/>
            </w:pPr>
            <w:r>
              <w:rPr>
                <w:rFonts w:ascii="Calibri" w:hAnsi="Calibri"/>
                <w:color w:val="1F2937"/>
                <w:sz w:val="18"/>
              </w:rPr>
              <w:t>Project Scope</w:t>
            </w:r>
          </w:p>
        </w:tc>
        <w:tc>
          <w:tcPr>
            <w:tcW w:type="dxa" w:w="1440"/>
            <w:shd w:fill="F8FAFC"/>
            <w:tcMar>
              <w:top w:w="70" w:type="dxa"/>
              <w:bottom w:w="70" w:type="dxa"/>
              <w:left w:w="90" w:type="dxa"/>
              <w:right w:w="90" w:type="dxa"/>
            </w:tcMar>
          </w:tcPr>
          <w:p>
            <w:pPr>
              <w:jc w:val="center"/>
            </w:pPr>
            <w:r>
              <w:rPr>
                <w:rFonts w:ascii="Calibri" w:hAnsi="Calibri"/>
                <w:color w:val="1F2937"/>
                <w:sz w:val="18"/>
              </w:rPr>
              <w:t>5</w:t>
            </w:r>
          </w:p>
        </w:tc>
      </w:tr>
      <w:tr>
        <w:tc>
          <w:tcPr>
            <w:tcW w:type="dxa" w:w="1152"/>
            <w:shd w:fill="FFFFFF"/>
            <w:tcMar>
              <w:top w:w="70" w:type="dxa"/>
              <w:bottom w:w="70" w:type="dxa"/>
              <w:left w:w="90" w:type="dxa"/>
              <w:right w:w="90" w:type="dxa"/>
            </w:tcMar>
          </w:tcPr>
          <w:p>
            <w:pPr>
              <w:jc w:val="left"/>
            </w:pPr>
            <w:r>
              <w:rPr>
                <w:rFonts w:ascii="Calibri" w:hAnsi="Calibri"/>
                <w:color w:val="1F2937"/>
                <w:sz w:val="18"/>
              </w:rPr>
              <w:t>5</w:t>
            </w:r>
          </w:p>
        </w:tc>
        <w:tc>
          <w:tcPr>
            <w:tcW w:type="dxa" w:w="6768"/>
            <w:shd w:fill="FFFFFF"/>
            <w:tcMar>
              <w:top w:w="70" w:type="dxa"/>
              <w:bottom w:w="70" w:type="dxa"/>
              <w:left w:w="90" w:type="dxa"/>
              <w:right w:w="90" w:type="dxa"/>
            </w:tcMar>
          </w:tcPr>
          <w:p>
            <w:pPr>
              <w:jc w:val="center"/>
            </w:pPr>
            <w:r>
              <w:rPr>
                <w:rFonts w:ascii="Calibri" w:hAnsi="Calibri"/>
                <w:color w:val="1F2937"/>
                <w:sz w:val="18"/>
              </w:rPr>
              <w:t>Proposed System / Methodology</w:t>
            </w:r>
          </w:p>
        </w:tc>
        <w:tc>
          <w:tcPr>
            <w:tcW w:type="dxa" w:w="1440"/>
            <w:shd w:fill="FFFFFF"/>
            <w:tcMar>
              <w:top w:w="70" w:type="dxa"/>
              <w:bottom w:w="70" w:type="dxa"/>
              <w:left w:w="90" w:type="dxa"/>
              <w:right w:w="90" w:type="dxa"/>
            </w:tcMar>
          </w:tcPr>
          <w:p>
            <w:pPr>
              <w:jc w:val="center"/>
            </w:pPr>
            <w:r>
              <w:rPr>
                <w:rFonts w:ascii="Calibri" w:hAnsi="Calibri"/>
                <w:color w:val="1F2937"/>
                <w:sz w:val="18"/>
              </w:rPr>
              <w:t>5</w:t>
            </w:r>
          </w:p>
        </w:tc>
      </w:tr>
      <w:tr>
        <w:tc>
          <w:tcPr>
            <w:tcW w:type="dxa" w:w="1152"/>
            <w:shd w:fill="F8FAFC"/>
            <w:tcMar>
              <w:top w:w="70" w:type="dxa"/>
              <w:bottom w:w="70" w:type="dxa"/>
              <w:left w:w="90" w:type="dxa"/>
              <w:right w:w="90" w:type="dxa"/>
            </w:tcMar>
          </w:tcPr>
          <w:p>
            <w:pPr>
              <w:jc w:val="left"/>
            </w:pPr>
            <w:r>
              <w:rPr>
                <w:rFonts w:ascii="Calibri" w:hAnsi="Calibri"/>
                <w:color w:val="1F2937"/>
                <w:sz w:val="18"/>
              </w:rPr>
              <w:t>6</w:t>
            </w:r>
          </w:p>
        </w:tc>
        <w:tc>
          <w:tcPr>
            <w:tcW w:type="dxa" w:w="6768"/>
            <w:shd w:fill="F8FAFC"/>
            <w:tcMar>
              <w:top w:w="70" w:type="dxa"/>
              <w:bottom w:w="70" w:type="dxa"/>
              <w:left w:w="90" w:type="dxa"/>
              <w:right w:w="90" w:type="dxa"/>
            </w:tcMar>
          </w:tcPr>
          <w:p>
            <w:pPr>
              <w:jc w:val="center"/>
            </w:pPr>
            <w:r>
              <w:rPr>
                <w:rFonts w:ascii="Calibri" w:hAnsi="Calibri"/>
                <w:color w:val="1F2937"/>
                <w:sz w:val="18"/>
              </w:rPr>
              <w:t>Dataset Description</w:t>
            </w:r>
          </w:p>
        </w:tc>
        <w:tc>
          <w:tcPr>
            <w:tcW w:type="dxa" w:w="1440"/>
            <w:shd w:fill="F8FAFC"/>
            <w:tcMar>
              <w:top w:w="70" w:type="dxa"/>
              <w:bottom w:w="70" w:type="dxa"/>
              <w:left w:w="90" w:type="dxa"/>
              <w:right w:w="90" w:type="dxa"/>
            </w:tcMar>
          </w:tcPr>
          <w:p>
            <w:pPr>
              <w:jc w:val="center"/>
            </w:pPr>
            <w:r>
              <w:rPr>
                <w:rFonts w:ascii="Calibri" w:hAnsi="Calibri"/>
                <w:color w:val="1F2937"/>
                <w:sz w:val="18"/>
              </w:rPr>
              <w:t>6</w:t>
            </w:r>
          </w:p>
        </w:tc>
      </w:tr>
      <w:tr>
        <w:tc>
          <w:tcPr>
            <w:tcW w:type="dxa" w:w="1152"/>
            <w:shd w:fill="FFFFFF"/>
            <w:tcMar>
              <w:top w:w="70" w:type="dxa"/>
              <w:bottom w:w="70" w:type="dxa"/>
              <w:left w:w="90" w:type="dxa"/>
              <w:right w:w="90" w:type="dxa"/>
            </w:tcMar>
          </w:tcPr>
          <w:p>
            <w:pPr>
              <w:jc w:val="left"/>
            </w:pPr>
            <w:r>
              <w:rPr>
                <w:rFonts w:ascii="Calibri" w:hAnsi="Calibri"/>
                <w:color w:val="1F2937"/>
                <w:sz w:val="18"/>
              </w:rPr>
              <w:t>7</w:t>
            </w:r>
          </w:p>
        </w:tc>
        <w:tc>
          <w:tcPr>
            <w:tcW w:type="dxa" w:w="6768"/>
            <w:shd w:fill="FFFFFF"/>
            <w:tcMar>
              <w:top w:w="70" w:type="dxa"/>
              <w:bottom w:w="70" w:type="dxa"/>
              <w:left w:w="90" w:type="dxa"/>
              <w:right w:w="90" w:type="dxa"/>
            </w:tcMar>
          </w:tcPr>
          <w:p>
            <w:pPr>
              <w:jc w:val="center"/>
            </w:pPr>
            <w:r>
              <w:rPr>
                <w:rFonts w:ascii="Calibri" w:hAnsi="Calibri"/>
                <w:color w:val="1F2937"/>
                <w:sz w:val="18"/>
              </w:rPr>
              <w:t>Data Preprocessing</w:t>
            </w:r>
          </w:p>
        </w:tc>
        <w:tc>
          <w:tcPr>
            <w:tcW w:type="dxa" w:w="1440"/>
            <w:shd w:fill="FFFFFF"/>
            <w:tcMar>
              <w:top w:w="70" w:type="dxa"/>
              <w:bottom w:w="70" w:type="dxa"/>
              <w:left w:w="90" w:type="dxa"/>
              <w:right w:w="90" w:type="dxa"/>
            </w:tcMar>
          </w:tcPr>
          <w:p>
            <w:pPr>
              <w:jc w:val="center"/>
            </w:pPr>
            <w:r>
              <w:rPr>
                <w:rFonts w:ascii="Calibri" w:hAnsi="Calibri"/>
                <w:color w:val="1F2937"/>
                <w:sz w:val="18"/>
              </w:rPr>
              <w:t>7</w:t>
            </w:r>
          </w:p>
        </w:tc>
      </w:tr>
      <w:tr>
        <w:tc>
          <w:tcPr>
            <w:tcW w:type="dxa" w:w="1152"/>
            <w:shd w:fill="F8FAFC"/>
            <w:tcMar>
              <w:top w:w="70" w:type="dxa"/>
              <w:bottom w:w="70" w:type="dxa"/>
              <w:left w:w="90" w:type="dxa"/>
              <w:right w:w="90" w:type="dxa"/>
            </w:tcMar>
          </w:tcPr>
          <w:p>
            <w:pPr>
              <w:jc w:val="left"/>
            </w:pPr>
            <w:r>
              <w:rPr>
                <w:rFonts w:ascii="Calibri" w:hAnsi="Calibri"/>
                <w:color w:val="1F2937"/>
                <w:sz w:val="18"/>
              </w:rPr>
              <w:t>8</w:t>
            </w:r>
          </w:p>
        </w:tc>
        <w:tc>
          <w:tcPr>
            <w:tcW w:type="dxa" w:w="6768"/>
            <w:shd w:fill="F8FAFC"/>
            <w:tcMar>
              <w:top w:w="70" w:type="dxa"/>
              <w:bottom w:w="70" w:type="dxa"/>
              <w:left w:w="90" w:type="dxa"/>
              <w:right w:w="90" w:type="dxa"/>
            </w:tcMar>
          </w:tcPr>
          <w:p>
            <w:pPr>
              <w:jc w:val="center"/>
            </w:pPr>
            <w:r>
              <w:rPr>
                <w:rFonts w:ascii="Calibri" w:hAnsi="Calibri"/>
                <w:color w:val="1F2937"/>
                <w:sz w:val="18"/>
              </w:rPr>
              <w:t>AI/ML Model Selection</w:t>
            </w:r>
          </w:p>
        </w:tc>
        <w:tc>
          <w:tcPr>
            <w:tcW w:type="dxa" w:w="1440"/>
            <w:shd w:fill="F8FAFC"/>
            <w:tcMar>
              <w:top w:w="70" w:type="dxa"/>
              <w:bottom w:w="70" w:type="dxa"/>
              <w:left w:w="90" w:type="dxa"/>
              <w:right w:w="90" w:type="dxa"/>
            </w:tcMar>
          </w:tcPr>
          <w:p>
            <w:pPr>
              <w:jc w:val="center"/>
            </w:pPr>
            <w:r>
              <w:rPr>
                <w:rFonts w:ascii="Calibri" w:hAnsi="Calibri"/>
                <w:color w:val="1F2937"/>
                <w:sz w:val="18"/>
              </w:rPr>
              <w:t>8</w:t>
            </w:r>
          </w:p>
        </w:tc>
      </w:tr>
      <w:tr>
        <w:tc>
          <w:tcPr>
            <w:tcW w:type="dxa" w:w="1152"/>
            <w:shd w:fill="FFFFFF"/>
            <w:tcMar>
              <w:top w:w="70" w:type="dxa"/>
              <w:bottom w:w="70" w:type="dxa"/>
              <w:left w:w="90" w:type="dxa"/>
              <w:right w:w="90" w:type="dxa"/>
            </w:tcMar>
          </w:tcPr>
          <w:p>
            <w:pPr>
              <w:jc w:val="left"/>
            </w:pPr>
            <w:r>
              <w:rPr>
                <w:rFonts w:ascii="Calibri" w:hAnsi="Calibri"/>
                <w:color w:val="1F2937"/>
                <w:sz w:val="18"/>
              </w:rPr>
              <w:t>9</w:t>
            </w:r>
          </w:p>
        </w:tc>
        <w:tc>
          <w:tcPr>
            <w:tcW w:type="dxa" w:w="6768"/>
            <w:shd w:fill="FFFFFF"/>
            <w:tcMar>
              <w:top w:w="70" w:type="dxa"/>
              <w:bottom w:w="70" w:type="dxa"/>
              <w:left w:w="90" w:type="dxa"/>
              <w:right w:w="90" w:type="dxa"/>
            </w:tcMar>
          </w:tcPr>
          <w:p>
            <w:pPr>
              <w:jc w:val="center"/>
            </w:pPr>
            <w:r>
              <w:rPr>
                <w:rFonts w:ascii="Calibri" w:hAnsi="Calibri"/>
                <w:color w:val="1F2937"/>
                <w:sz w:val="18"/>
              </w:rPr>
              <w:t>Model Development</w:t>
            </w:r>
          </w:p>
        </w:tc>
        <w:tc>
          <w:tcPr>
            <w:tcW w:type="dxa" w:w="1440"/>
            <w:shd w:fill="FFFFFF"/>
            <w:tcMar>
              <w:top w:w="70" w:type="dxa"/>
              <w:bottom w:w="70" w:type="dxa"/>
              <w:left w:w="90" w:type="dxa"/>
              <w:right w:w="90" w:type="dxa"/>
            </w:tcMar>
          </w:tcPr>
          <w:p>
            <w:pPr>
              <w:jc w:val="center"/>
            </w:pPr>
            <w:r>
              <w:rPr>
                <w:rFonts w:ascii="Calibri" w:hAnsi="Calibri"/>
                <w:color w:val="1F2937"/>
                <w:sz w:val="18"/>
              </w:rPr>
              <w:t>9</w:t>
            </w:r>
          </w:p>
        </w:tc>
      </w:tr>
      <w:tr>
        <w:tc>
          <w:tcPr>
            <w:tcW w:type="dxa" w:w="1152"/>
            <w:shd w:fill="F8FAFC"/>
            <w:tcMar>
              <w:top w:w="70" w:type="dxa"/>
              <w:bottom w:w="70" w:type="dxa"/>
              <w:left w:w="90" w:type="dxa"/>
              <w:right w:w="90" w:type="dxa"/>
            </w:tcMar>
          </w:tcPr>
          <w:p>
            <w:pPr>
              <w:jc w:val="left"/>
            </w:pPr>
            <w:r>
              <w:rPr>
                <w:rFonts w:ascii="Calibri" w:hAnsi="Calibri"/>
                <w:color w:val="1F2937"/>
                <w:sz w:val="18"/>
              </w:rPr>
              <w:t>10</w:t>
            </w:r>
          </w:p>
        </w:tc>
        <w:tc>
          <w:tcPr>
            <w:tcW w:type="dxa" w:w="6768"/>
            <w:shd w:fill="F8FAFC"/>
            <w:tcMar>
              <w:top w:w="70" w:type="dxa"/>
              <w:bottom w:w="70" w:type="dxa"/>
              <w:left w:w="90" w:type="dxa"/>
              <w:right w:w="90" w:type="dxa"/>
            </w:tcMar>
          </w:tcPr>
          <w:p>
            <w:pPr>
              <w:jc w:val="center"/>
            </w:pPr>
            <w:r>
              <w:rPr>
                <w:rFonts w:ascii="Calibri" w:hAnsi="Calibri"/>
                <w:color w:val="1F2937"/>
                <w:sz w:val="18"/>
              </w:rPr>
              <w:t>Model Training and Evaluation</w:t>
            </w:r>
          </w:p>
        </w:tc>
        <w:tc>
          <w:tcPr>
            <w:tcW w:type="dxa" w:w="1440"/>
            <w:shd w:fill="F8FAFC"/>
            <w:tcMar>
              <w:top w:w="70" w:type="dxa"/>
              <w:bottom w:w="70" w:type="dxa"/>
              <w:left w:w="90" w:type="dxa"/>
              <w:right w:w="90" w:type="dxa"/>
            </w:tcMar>
          </w:tcPr>
          <w:p>
            <w:pPr>
              <w:jc w:val="center"/>
            </w:pPr>
            <w:r>
              <w:rPr>
                <w:rFonts w:ascii="Calibri" w:hAnsi="Calibri"/>
                <w:color w:val="1F2937"/>
                <w:sz w:val="18"/>
              </w:rPr>
              <w:t>10</w:t>
            </w:r>
          </w:p>
        </w:tc>
      </w:tr>
      <w:tr>
        <w:tc>
          <w:tcPr>
            <w:tcW w:type="dxa" w:w="1152"/>
            <w:shd w:fill="FFFFFF"/>
            <w:tcMar>
              <w:top w:w="70" w:type="dxa"/>
              <w:bottom w:w="70" w:type="dxa"/>
              <w:left w:w="90" w:type="dxa"/>
              <w:right w:w="90" w:type="dxa"/>
            </w:tcMar>
          </w:tcPr>
          <w:p>
            <w:pPr>
              <w:jc w:val="left"/>
            </w:pPr>
            <w:r>
              <w:rPr>
                <w:rFonts w:ascii="Calibri" w:hAnsi="Calibri"/>
                <w:color w:val="1F2937"/>
                <w:sz w:val="18"/>
              </w:rPr>
              <w:t>11</w:t>
            </w:r>
          </w:p>
        </w:tc>
        <w:tc>
          <w:tcPr>
            <w:tcW w:type="dxa" w:w="6768"/>
            <w:shd w:fill="FFFFFF"/>
            <w:tcMar>
              <w:top w:w="70" w:type="dxa"/>
              <w:bottom w:w="70" w:type="dxa"/>
              <w:left w:w="90" w:type="dxa"/>
              <w:right w:w="90" w:type="dxa"/>
            </w:tcMar>
          </w:tcPr>
          <w:p>
            <w:pPr>
              <w:jc w:val="center"/>
            </w:pPr>
            <w:r>
              <w:rPr>
                <w:rFonts w:ascii="Calibri" w:hAnsi="Calibri"/>
                <w:color w:val="1F2937"/>
                <w:sz w:val="18"/>
              </w:rPr>
              <w:t>Results and Analysis</w:t>
            </w:r>
          </w:p>
        </w:tc>
        <w:tc>
          <w:tcPr>
            <w:tcW w:type="dxa" w:w="1440"/>
            <w:shd w:fill="FFFFFF"/>
            <w:tcMar>
              <w:top w:w="70" w:type="dxa"/>
              <w:bottom w:w="70" w:type="dxa"/>
              <w:left w:w="90" w:type="dxa"/>
              <w:right w:w="90" w:type="dxa"/>
            </w:tcMar>
          </w:tcPr>
          <w:p>
            <w:pPr>
              <w:jc w:val="center"/>
            </w:pPr>
            <w:r>
              <w:rPr>
                <w:rFonts w:ascii="Calibri" w:hAnsi="Calibri"/>
                <w:color w:val="1F2937"/>
                <w:sz w:val="18"/>
              </w:rPr>
              <w:t>11</w:t>
            </w:r>
          </w:p>
        </w:tc>
      </w:tr>
      <w:tr>
        <w:tc>
          <w:tcPr>
            <w:tcW w:type="dxa" w:w="1152"/>
            <w:shd w:fill="F8FAFC"/>
            <w:tcMar>
              <w:top w:w="70" w:type="dxa"/>
              <w:bottom w:w="70" w:type="dxa"/>
              <w:left w:w="90" w:type="dxa"/>
              <w:right w:w="90" w:type="dxa"/>
            </w:tcMar>
          </w:tcPr>
          <w:p>
            <w:pPr>
              <w:jc w:val="left"/>
            </w:pPr>
            <w:r>
              <w:rPr>
                <w:rFonts w:ascii="Calibri" w:hAnsi="Calibri"/>
                <w:color w:val="1F2937"/>
                <w:sz w:val="18"/>
              </w:rPr>
              <w:t>12</w:t>
            </w:r>
          </w:p>
        </w:tc>
        <w:tc>
          <w:tcPr>
            <w:tcW w:type="dxa" w:w="6768"/>
            <w:shd w:fill="F8FAFC"/>
            <w:tcMar>
              <w:top w:w="70" w:type="dxa"/>
              <w:bottom w:w="70" w:type="dxa"/>
              <w:left w:w="90" w:type="dxa"/>
              <w:right w:w="90" w:type="dxa"/>
            </w:tcMar>
          </w:tcPr>
          <w:p>
            <w:pPr>
              <w:jc w:val="center"/>
            </w:pPr>
            <w:r>
              <w:rPr>
                <w:rFonts w:ascii="Calibri" w:hAnsi="Calibri"/>
                <w:color w:val="1F2937"/>
                <w:sz w:val="18"/>
              </w:rPr>
              <w:t>System Architecture / Workflow</w:t>
            </w:r>
          </w:p>
        </w:tc>
        <w:tc>
          <w:tcPr>
            <w:tcW w:type="dxa" w:w="1440"/>
            <w:shd w:fill="F8FAFC"/>
            <w:tcMar>
              <w:top w:w="70" w:type="dxa"/>
              <w:bottom w:w="70" w:type="dxa"/>
              <w:left w:w="90" w:type="dxa"/>
              <w:right w:w="90" w:type="dxa"/>
            </w:tcMar>
          </w:tcPr>
          <w:p>
            <w:pPr>
              <w:jc w:val="center"/>
            </w:pPr>
            <w:r>
              <w:rPr>
                <w:rFonts w:ascii="Calibri" w:hAnsi="Calibri"/>
                <w:color w:val="1F2937"/>
                <w:sz w:val="18"/>
              </w:rPr>
              <w:t>13</w:t>
            </w:r>
          </w:p>
        </w:tc>
      </w:tr>
      <w:tr>
        <w:tc>
          <w:tcPr>
            <w:tcW w:type="dxa" w:w="1152"/>
            <w:shd w:fill="FFFFFF"/>
            <w:tcMar>
              <w:top w:w="70" w:type="dxa"/>
              <w:bottom w:w="70" w:type="dxa"/>
              <w:left w:w="90" w:type="dxa"/>
              <w:right w:w="90" w:type="dxa"/>
            </w:tcMar>
          </w:tcPr>
          <w:p>
            <w:pPr>
              <w:jc w:val="left"/>
            </w:pPr>
            <w:r>
              <w:rPr>
                <w:rFonts w:ascii="Calibri" w:hAnsi="Calibri"/>
                <w:color w:val="1F2937"/>
                <w:sz w:val="18"/>
              </w:rPr>
              <w:t>13</w:t>
            </w:r>
          </w:p>
        </w:tc>
        <w:tc>
          <w:tcPr>
            <w:tcW w:type="dxa" w:w="6768"/>
            <w:shd w:fill="FFFFFF"/>
            <w:tcMar>
              <w:top w:w="70" w:type="dxa"/>
              <w:bottom w:w="70" w:type="dxa"/>
              <w:left w:w="90" w:type="dxa"/>
              <w:right w:w="90" w:type="dxa"/>
            </w:tcMar>
          </w:tcPr>
          <w:p>
            <w:pPr>
              <w:jc w:val="center"/>
            </w:pPr>
            <w:r>
              <w:rPr>
                <w:rFonts w:ascii="Calibri" w:hAnsi="Calibri"/>
                <w:color w:val="1F2937"/>
                <w:sz w:val="18"/>
              </w:rPr>
              <w:t>Implementation</w:t>
            </w:r>
          </w:p>
        </w:tc>
        <w:tc>
          <w:tcPr>
            <w:tcW w:type="dxa" w:w="1440"/>
            <w:shd w:fill="FFFFFF"/>
            <w:tcMar>
              <w:top w:w="70" w:type="dxa"/>
              <w:bottom w:w="70" w:type="dxa"/>
              <w:left w:w="90" w:type="dxa"/>
              <w:right w:w="90" w:type="dxa"/>
            </w:tcMar>
          </w:tcPr>
          <w:p>
            <w:pPr>
              <w:jc w:val="center"/>
            </w:pPr>
            <w:r>
              <w:rPr>
                <w:rFonts w:ascii="Calibri" w:hAnsi="Calibri"/>
                <w:color w:val="1F2937"/>
                <w:sz w:val="18"/>
              </w:rPr>
              <w:t>14</w:t>
            </w:r>
          </w:p>
        </w:tc>
      </w:tr>
      <w:tr>
        <w:tc>
          <w:tcPr>
            <w:tcW w:type="dxa" w:w="1152"/>
            <w:shd w:fill="F8FAFC"/>
            <w:tcMar>
              <w:top w:w="70" w:type="dxa"/>
              <w:bottom w:w="70" w:type="dxa"/>
              <w:left w:w="90" w:type="dxa"/>
              <w:right w:w="90" w:type="dxa"/>
            </w:tcMar>
          </w:tcPr>
          <w:p>
            <w:pPr>
              <w:jc w:val="left"/>
            </w:pPr>
            <w:r>
              <w:rPr>
                <w:rFonts w:ascii="Calibri" w:hAnsi="Calibri"/>
                <w:color w:val="1F2937"/>
                <w:sz w:val="18"/>
              </w:rPr>
              <w:t>14</w:t>
            </w:r>
          </w:p>
        </w:tc>
        <w:tc>
          <w:tcPr>
            <w:tcW w:type="dxa" w:w="6768"/>
            <w:shd w:fill="F8FAFC"/>
            <w:tcMar>
              <w:top w:w="70" w:type="dxa"/>
              <w:bottom w:w="70" w:type="dxa"/>
              <w:left w:w="90" w:type="dxa"/>
              <w:right w:w="90" w:type="dxa"/>
            </w:tcMar>
          </w:tcPr>
          <w:p>
            <w:pPr>
              <w:jc w:val="center"/>
            </w:pPr>
            <w:r>
              <w:rPr>
                <w:rFonts w:ascii="Calibri" w:hAnsi="Calibri"/>
                <w:color w:val="1F2937"/>
                <w:sz w:val="18"/>
              </w:rPr>
              <w:t>User Interface / Application Screenshots</w:t>
            </w:r>
          </w:p>
        </w:tc>
        <w:tc>
          <w:tcPr>
            <w:tcW w:type="dxa" w:w="1440"/>
            <w:shd w:fill="F8FAFC"/>
            <w:tcMar>
              <w:top w:w="70" w:type="dxa"/>
              <w:bottom w:w="70" w:type="dxa"/>
              <w:left w:w="90" w:type="dxa"/>
              <w:right w:w="90" w:type="dxa"/>
            </w:tcMar>
          </w:tcPr>
          <w:p>
            <w:pPr>
              <w:jc w:val="center"/>
            </w:pPr>
            <w:r>
              <w:rPr>
                <w:rFonts w:ascii="Calibri" w:hAnsi="Calibri"/>
                <w:color w:val="1F2937"/>
                <w:sz w:val="18"/>
              </w:rPr>
              <w:t>15</w:t>
            </w:r>
          </w:p>
        </w:tc>
      </w:tr>
      <w:tr>
        <w:tc>
          <w:tcPr>
            <w:tcW w:type="dxa" w:w="1152"/>
            <w:shd w:fill="FFFFFF"/>
            <w:tcMar>
              <w:top w:w="70" w:type="dxa"/>
              <w:bottom w:w="70" w:type="dxa"/>
              <w:left w:w="90" w:type="dxa"/>
              <w:right w:w="90" w:type="dxa"/>
            </w:tcMar>
          </w:tcPr>
          <w:p>
            <w:pPr>
              <w:jc w:val="left"/>
            </w:pPr>
            <w:r>
              <w:rPr>
                <w:rFonts w:ascii="Calibri" w:hAnsi="Calibri"/>
                <w:color w:val="1F2937"/>
                <w:sz w:val="18"/>
              </w:rPr>
              <w:t>15</w:t>
            </w:r>
          </w:p>
        </w:tc>
        <w:tc>
          <w:tcPr>
            <w:tcW w:type="dxa" w:w="6768"/>
            <w:shd w:fill="FFFFFF"/>
            <w:tcMar>
              <w:top w:w="70" w:type="dxa"/>
              <w:bottom w:w="70" w:type="dxa"/>
              <w:left w:w="90" w:type="dxa"/>
              <w:right w:w="90" w:type="dxa"/>
            </w:tcMar>
          </w:tcPr>
          <w:p>
            <w:pPr>
              <w:jc w:val="center"/>
            </w:pPr>
            <w:r>
              <w:rPr>
                <w:rFonts w:ascii="Calibri" w:hAnsi="Calibri"/>
                <w:color w:val="1F2937"/>
                <w:sz w:val="18"/>
              </w:rPr>
              <w:t>Challenges and Limitations</w:t>
            </w:r>
          </w:p>
        </w:tc>
        <w:tc>
          <w:tcPr>
            <w:tcW w:type="dxa" w:w="1440"/>
            <w:shd w:fill="FFFFFF"/>
            <w:tcMar>
              <w:top w:w="70" w:type="dxa"/>
              <w:bottom w:w="70" w:type="dxa"/>
              <w:left w:w="90" w:type="dxa"/>
              <w:right w:w="90" w:type="dxa"/>
            </w:tcMar>
          </w:tcPr>
          <w:p>
            <w:pPr>
              <w:jc w:val="center"/>
            </w:pPr>
            <w:r>
              <w:rPr>
                <w:rFonts w:ascii="Calibri" w:hAnsi="Calibri"/>
                <w:color w:val="1F2937"/>
                <w:sz w:val="18"/>
              </w:rPr>
              <w:t>17</w:t>
            </w:r>
          </w:p>
        </w:tc>
      </w:tr>
      <w:tr>
        <w:tc>
          <w:tcPr>
            <w:tcW w:type="dxa" w:w="1152"/>
            <w:shd w:fill="F8FAFC"/>
            <w:tcMar>
              <w:top w:w="70" w:type="dxa"/>
              <w:bottom w:w="70" w:type="dxa"/>
              <w:left w:w="90" w:type="dxa"/>
              <w:right w:w="90" w:type="dxa"/>
            </w:tcMar>
          </w:tcPr>
          <w:p>
            <w:pPr>
              <w:jc w:val="left"/>
            </w:pPr>
            <w:r>
              <w:rPr>
                <w:rFonts w:ascii="Calibri" w:hAnsi="Calibri"/>
                <w:color w:val="1F2937"/>
                <w:sz w:val="18"/>
              </w:rPr>
              <w:t>16</w:t>
            </w:r>
          </w:p>
        </w:tc>
        <w:tc>
          <w:tcPr>
            <w:tcW w:type="dxa" w:w="6768"/>
            <w:shd w:fill="F8FAFC"/>
            <w:tcMar>
              <w:top w:w="70" w:type="dxa"/>
              <w:bottom w:w="70" w:type="dxa"/>
              <w:left w:w="90" w:type="dxa"/>
              <w:right w:w="90" w:type="dxa"/>
            </w:tcMar>
          </w:tcPr>
          <w:p>
            <w:pPr>
              <w:jc w:val="center"/>
            </w:pPr>
            <w:r>
              <w:rPr>
                <w:rFonts w:ascii="Calibri" w:hAnsi="Calibri"/>
                <w:color w:val="1F2937"/>
                <w:sz w:val="18"/>
              </w:rPr>
              <w:t>Conclusion</w:t>
            </w:r>
          </w:p>
        </w:tc>
        <w:tc>
          <w:tcPr>
            <w:tcW w:type="dxa" w:w="1440"/>
            <w:shd w:fill="F8FAFC"/>
            <w:tcMar>
              <w:top w:w="70" w:type="dxa"/>
              <w:bottom w:w="70" w:type="dxa"/>
              <w:left w:w="90" w:type="dxa"/>
              <w:right w:w="90" w:type="dxa"/>
            </w:tcMar>
          </w:tcPr>
          <w:p>
            <w:pPr>
              <w:jc w:val="center"/>
            </w:pPr>
            <w:r>
              <w:rPr>
                <w:rFonts w:ascii="Calibri" w:hAnsi="Calibri"/>
                <w:color w:val="1F2937"/>
                <w:sz w:val="18"/>
              </w:rPr>
              <w:t>18</w:t>
            </w:r>
          </w:p>
        </w:tc>
      </w:tr>
      <w:tr>
        <w:tc>
          <w:tcPr>
            <w:tcW w:type="dxa" w:w="1152"/>
            <w:shd w:fill="FFFFFF"/>
            <w:tcMar>
              <w:top w:w="70" w:type="dxa"/>
              <w:bottom w:w="70" w:type="dxa"/>
              <w:left w:w="90" w:type="dxa"/>
              <w:right w:w="90" w:type="dxa"/>
            </w:tcMar>
          </w:tcPr>
          <w:p>
            <w:pPr>
              <w:jc w:val="left"/>
            </w:pPr>
            <w:r>
              <w:rPr>
                <w:rFonts w:ascii="Calibri" w:hAnsi="Calibri"/>
                <w:color w:val="1F2937"/>
                <w:sz w:val="18"/>
              </w:rPr>
              <w:t>17</w:t>
            </w:r>
          </w:p>
        </w:tc>
        <w:tc>
          <w:tcPr>
            <w:tcW w:type="dxa" w:w="6768"/>
            <w:shd w:fill="FFFFFF"/>
            <w:tcMar>
              <w:top w:w="70" w:type="dxa"/>
              <w:bottom w:w="70" w:type="dxa"/>
              <w:left w:w="90" w:type="dxa"/>
              <w:right w:w="90" w:type="dxa"/>
            </w:tcMar>
          </w:tcPr>
          <w:p>
            <w:pPr>
              <w:jc w:val="center"/>
            </w:pPr>
            <w:r>
              <w:rPr>
                <w:rFonts w:ascii="Calibri" w:hAnsi="Calibri"/>
                <w:color w:val="1F2937"/>
                <w:sz w:val="18"/>
              </w:rPr>
              <w:t>Future Scope</w:t>
            </w:r>
          </w:p>
        </w:tc>
        <w:tc>
          <w:tcPr>
            <w:tcW w:type="dxa" w:w="1440"/>
            <w:shd w:fill="FFFFFF"/>
            <w:tcMar>
              <w:top w:w="70" w:type="dxa"/>
              <w:bottom w:w="70" w:type="dxa"/>
              <w:left w:w="90" w:type="dxa"/>
              <w:right w:w="90" w:type="dxa"/>
            </w:tcMar>
          </w:tcPr>
          <w:p>
            <w:pPr>
              <w:jc w:val="center"/>
            </w:pPr>
            <w:r>
              <w:rPr>
                <w:rFonts w:ascii="Calibri" w:hAnsi="Calibri"/>
                <w:color w:val="1F2937"/>
                <w:sz w:val="18"/>
              </w:rPr>
              <w:t>18</w:t>
            </w:r>
          </w:p>
        </w:tc>
      </w:tr>
      <w:tr>
        <w:tc>
          <w:tcPr>
            <w:tcW w:type="dxa" w:w="1152"/>
            <w:shd w:fill="F8FAFC"/>
            <w:tcMar>
              <w:top w:w="70" w:type="dxa"/>
              <w:bottom w:w="70" w:type="dxa"/>
              <w:left w:w="90" w:type="dxa"/>
              <w:right w:w="90" w:type="dxa"/>
            </w:tcMar>
          </w:tcPr>
          <w:p>
            <w:pPr>
              <w:jc w:val="left"/>
            </w:pPr>
            <w:r>
              <w:rPr>
                <w:rFonts w:ascii="Calibri" w:hAnsi="Calibri"/>
                <w:color w:val="1F2937"/>
                <w:sz w:val="18"/>
              </w:rPr>
              <w:t>18</w:t>
            </w:r>
          </w:p>
        </w:tc>
        <w:tc>
          <w:tcPr>
            <w:tcW w:type="dxa" w:w="6768"/>
            <w:shd w:fill="F8FAFC"/>
            <w:tcMar>
              <w:top w:w="70" w:type="dxa"/>
              <w:bottom w:w="70" w:type="dxa"/>
              <w:left w:w="90" w:type="dxa"/>
              <w:right w:w="90" w:type="dxa"/>
            </w:tcMar>
          </w:tcPr>
          <w:p>
            <w:pPr>
              <w:jc w:val="center"/>
            </w:pPr>
            <w:r>
              <w:rPr>
                <w:rFonts w:ascii="Calibri" w:hAnsi="Calibri"/>
                <w:color w:val="1F2937"/>
                <w:sz w:val="18"/>
              </w:rPr>
              <w:t>References</w:t>
            </w:r>
          </w:p>
        </w:tc>
        <w:tc>
          <w:tcPr>
            <w:tcW w:type="dxa" w:w="1440"/>
            <w:shd w:fill="F8FAFC"/>
            <w:tcMar>
              <w:top w:w="70" w:type="dxa"/>
              <w:bottom w:w="70" w:type="dxa"/>
              <w:left w:w="90" w:type="dxa"/>
              <w:right w:w="90" w:type="dxa"/>
            </w:tcMar>
          </w:tcPr>
          <w:p>
            <w:pPr>
              <w:jc w:val="center"/>
            </w:pPr>
            <w:r>
              <w:rPr>
                <w:rFonts w:ascii="Calibri" w:hAnsi="Calibri"/>
                <w:color w:val="1F2937"/>
                <w:sz w:val="18"/>
              </w:rPr>
              <w:t>19</w:t>
            </w:r>
          </w:p>
        </w:tc>
      </w:tr>
    </w:tbl>
    <w:p>
      <w:r>
        <w:br w:type="page"/>
      </w:r>
    </w:p>
    <w:p>
      <w:pPr>
        <w:pStyle w:val="Heading1"/>
        <w:keepNext/>
        <w:spacing w:before="280" w:after="80"/>
      </w:pPr>
      <w:r>
        <w:rPr>
          <w:rFonts w:ascii="Calibri" w:hAnsi="Calibri"/>
          <w:b/>
          <w:color w:val="1E3A8A"/>
          <w:sz w:val="34"/>
        </w:rPr>
        <w:t>1. Introduction</w:t>
      </w:r>
    </w:p>
    <w:p>
      <w:pPr>
        <w:pStyle w:val="Heading2"/>
        <w:keepNext/>
        <w:spacing w:before="280" w:after="80"/>
      </w:pPr>
      <w:r>
        <w:rPr>
          <w:rFonts w:ascii="Calibri" w:hAnsi="Calibri"/>
          <w:b/>
          <w:color w:val="2563EB"/>
          <w:sz w:val="26"/>
        </w:rPr>
        <w:t>1.1 Brief Introduction to the Project Domain</w:t>
      </w:r>
    </w:p>
    <w:p>
      <w:pPr>
        <w:spacing w:after="80" w:line="276" w:lineRule="auto"/>
      </w:pPr>
      <w:r>
        <w:rPr>
          <w:rFonts w:ascii="Calibri" w:hAnsi="Calibri"/>
          <w:color w:val="374151"/>
          <w:sz w:val="22"/>
        </w:rPr>
        <w:t>In the modern telecommunications landscape, subscriber retention has become the primary determinant of long-term corporate viability and market share. As telecom markets reach saturation, acquiring a new customer costs 5 to 7 times more than retaining an existing subscriber. Consequently, telecom operators must transition from reactive damage control to proactive, data-driven customer relationship management.</w:t>
      </w:r>
    </w:p>
    <w:p>
      <w:pPr>
        <w:pStyle w:val="Heading2"/>
        <w:keepNext/>
        <w:spacing w:before="280" w:after="80"/>
      </w:pPr>
      <w:r>
        <w:rPr>
          <w:rFonts w:ascii="Calibri" w:hAnsi="Calibri"/>
          <w:b/>
          <w:color w:val="2563EB"/>
          <w:sz w:val="26"/>
        </w:rPr>
        <w:t>1.2 Background of the Problem</w:t>
      </w:r>
    </w:p>
    <w:p>
      <w:pPr>
        <w:spacing w:after="80" w:line="276" w:lineRule="auto"/>
      </w:pPr>
      <w:r>
        <w:rPr>
          <w:rFonts w:ascii="Calibri" w:hAnsi="Calibri"/>
          <w:color w:val="374151"/>
          <w:sz w:val="22"/>
        </w:rPr>
        <w:t>Customer churn represents the rate at which subscribers cancel their subscriptions, disconnect lines, or switch to competitor networks. Telecom providers historically relied on post-cancellation exit interviews and broad-spectrum marketing discounts. These traditional mechanisms fail because they address customer dissatisfaction only after the cancellation intent is finalized, resulting in billions of dollars in lost annual recurring revenue.</w:t>
      </w:r>
    </w:p>
    <w:p>
      <w:pPr>
        <w:pStyle w:val="Heading2"/>
        <w:keepNext/>
        <w:spacing w:before="280" w:after="80"/>
      </w:pPr>
      <w:r>
        <w:rPr>
          <w:rFonts w:ascii="Calibri" w:hAnsi="Calibri"/>
          <w:b/>
          <w:color w:val="2563EB"/>
          <w:sz w:val="26"/>
        </w:rPr>
        <w:t>1.3 Importance of AI/ML in the Selected Domain</w:t>
      </w:r>
    </w:p>
    <w:p>
      <w:pPr>
        <w:spacing w:after="80" w:line="276" w:lineRule="auto"/>
      </w:pPr>
      <w:r>
        <w:rPr>
          <w:rFonts w:ascii="Calibri" w:hAnsi="Calibri"/>
          <w:color w:val="374151"/>
          <w:sz w:val="22"/>
        </w:rPr>
        <w:t>Artificial Intelligence and Machine Learning (AI/ML) transform retention strategies by detecting subtle, non-linear churn risk patterns hidden within multidimensional customer data. By analyzing demographic details, contracted services, payment behaviors, and billing telemetry, supervised machine learning algorithms can predict customer defection months ahead of time, enabling timely, targeted, and financially optimized retention interventions.</w:t>
      </w:r>
    </w:p>
    <w:p>
      <w:pPr>
        <w:pStyle w:val="Heading2"/>
        <w:keepNext/>
        <w:spacing w:before="280" w:after="80"/>
      </w:pPr>
      <w:r>
        <w:rPr>
          <w:rFonts w:ascii="Calibri" w:hAnsi="Calibri"/>
          <w:b/>
          <w:color w:val="2563EB"/>
          <w:sz w:val="26"/>
        </w:rPr>
        <w:t>1.4 Brief Overview of the Proposed Solution (TelcoPulse AI)</w:t>
      </w:r>
    </w:p>
    <w:p>
      <w:pPr>
        <w:spacing w:after="80" w:line="276" w:lineRule="auto"/>
      </w:pPr>
      <w:r>
        <w:rPr>
          <w:rFonts w:ascii="Calibri" w:hAnsi="Calibri"/>
          <w:color w:val="374151"/>
          <w:sz w:val="22"/>
        </w:rPr>
        <w:t>TelcoPulse AI is an enterprise-grade customer churn intelligence and decision support platform. Rather than acting as an inscrutable black box, TelcoPulse AI provides:</w:t>
      </w:r>
    </w:p>
    <w:p>
      <w:pPr>
        <w:pStyle w:val="ListBullet"/>
        <w:spacing w:after="60" w:line="276" w:lineRule="auto"/>
      </w:pPr>
      <w:r>
        <w:rPr>
          <w:rFonts w:ascii="Calibri" w:hAnsi="Calibri"/>
          <w:b/>
          <w:color w:val="1F2937"/>
          <w:sz w:val="22"/>
        </w:rPr>
        <w:t xml:space="preserve">• Calibrated Risk Scoring: </w:t>
      </w:r>
      <w:r>
        <w:rPr>
          <w:rFonts w:ascii="Calibri" w:hAnsi="Calibri"/>
          <w:color w:val="374151"/>
          <w:sz w:val="22"/>
        </w:rPr>
        <w:t>Real-time calibrated churn risk probability (%) categorized into Safe (&lt;30%), Moderate (30-60%), and Critical (&gt;60%) risk tiers.</w:t>
      </w:r>
    </w:p>
    <w:p>
      <w:pPr>
        <w:pStyle w:val="ListBullet"/>
        <w:spacing w:after="60" w:line="276" w:lineRule="auto"/>
      </w:pPr>
      <w:r>
        <w:rPr>
          <w:rFonts w:ascii="Calibri" w:hAnsi="Calibri"/>
          <w:b/>
          <w:color w:val="1F2937"/>
          <w:sz w:val="22"/>
        </w:rPr>
        <w:t xml:space="preserve">• Local Explainability (XAI): </w:t>
      </w:r>
      <w:r>
        <w:rPr>
          <w:rFonts w:ascii="Calibri" w:hAnsi="Calibri"/>
          <w:color w:val="374151"/>
          <w:sz w:val="22"/>
        </w:rPr>
        <w:t>Mathematical log-odds decomposition identifying the specific hazard factors driving risk and protective factors anchoring loyalty for each subscriber.</w:t>
      </w:r>
    </w:p>
    <w:p>
      <w:pPr>
        <w:pStyle w:val="ListBullet"/>
        <w:spacing w:after="60" w:line="276" w:lineRule="auto"/>
      </w:pPr>
      <w:r>
        <w:rPr>
          <w:rFonts w:ascii="Calibri" w:hAnsi="Calibri"/>
          <w:b/>
          <w:color w:val="1F2937"/>
          <w:sz w:val="22"/>
        </w:rPr>
        <w:t xml:space="preserve">• Financial Exposure Estimation: </w:t>
      </w:r>
      <w:r>
        <w:rPr>
          <w:rFonts w:ascii="Calibri" w:hAnsi="Calibri"/>
          <w:color w:val="374151"/>
          <w:sz w:val="22"/>
        </w:rPr>
        <w:t>Quantifies expected financial loss ($/year) per customer account based on monthly recurring revenue and churn probability.</w:t>
      </w:r>
    </w:p>
    <w:p>
      <w:pPr>
        <w:pStyle w:val="ListBullet"/>
        <w:spacing w:after="60" w:line="276" w:lineRule="auto"/>
      </w:pPr>
      <w:r>
        <w:rPr>
          <w:rFonts w:ascii="Calibri" w:hAnsi="Calibri"/>
          <w:b/>
          <w:color w:val="1F2937"/>
          <w:sz w:val="22"/>
        </w:rPr>
        <w:t xml:space="preserve">• What-If Strategy Simulator: </w:t>
      </w:r>
      <w:r>
        <w:rPr>
          <w:rFonts w:ascii="Calibri" w:hAnsi="Calibri"/>
          <w:color w:val="374151"/>
          <w:sz w:val="22"/>
        </w:rPr>
        <w:t>An interactive sandbox allowing retention agents to test contract extensions, discounts, and support add-ons to simulate risk reduction before presenting offers.</w:t>
      </w:r>
    </w:p>
    <w:p>
      <w:pPr>
        <w:pStyle w:val="ListBullet"/>
        <w:spacing w:after="60" w:line="276" w:lineRule="auto"/>
      </w:pPr>
      <w:r>
        <w:rPr>
          <w:rFonts w:ascii="Calibri" w:hAnsi="Calibri"/>
          <w:b/>
          <w:color w:val="1F2937"/>
          <w:sz w:val="22"/>
        </w:rPr>
        <w:t xml:space="preserve">• Cohort Batch Queue: </w:t>
      </w:r>
      <w:r>
        <w:rPr>
          <w:rFonts w:ascii="Calibri" w:hAnsi="Calibri"/>
          <w:color w:val="374151"/>
          <w:sz w:val="22"/>
        </w:rPr>
        <w:t>Batch roster upload (.csv) with priority queue sorting and 1-click campaign list export for operational retention workflows.</w:t>
      </w:r>
    </w:p>
    <w:p>
      <w:pPr>
        <w:pStyle w:val="Heading1"/>
        <w:keepNext/>
        <w:spacing w:before="280" w:after="80"/>
      </w:pPr>
      <w:r>
        <w:rPr>
          <w:rFonts w:ascii="Calibri" w:hAnsi="Calibri"/>
          <w:b/>
          <w:color w:val="1E3A8A"/>
          <w:sz w:val="34"/>
        </w:rPr>
        <w:t>2. Problem Statement</w:t>
      </w:r>
    </w:p>
    <w:p>
      <w:pPr>
        <w:pStyle w:val="Heading2"/>
        <w:keepNext/>
        <w:spacing w:before="280" w:after="80"/>
      </w:pPr>
      <w:r>
        <w:rPr>
          <w:rFonts w:ascii="Calibri" w:hAnsi="Calibri"/>
          <w:b/>
          <w:color w:val="2563EB"/>
          <w:sz w:val="26"/>
        </w:rPr>
        <w:t>2.1 What Problem Are We Trying to Solve?</w:t>
      </w:r>
    </w:p>
    <w:p>
      <w:pPr>
        <w:spacing w:after="80" w:line="276" w:lineRule="auto"/>
      </w:pPr>
      <w:r>
        <w:rPr>
          <w:rFonts w:ascii="Calibri" w:hAnsi="Calibri"/>
          <w:color w:val="374151"/>
          <w:sz w:val="22"/>
        </w:rPr>
        <w:t>We are addressing the critical problem of voluntary subscriber churn in the telecommunications industry, where customers silently defect to competitor providers without prior warning, inflicting massive revenue erosion and high customer acquisition reinvestment cycles.</w:t>
      </w:r>
    </w:p>
    <w:p>
      <w:pPr>
        <w:pStyle w:val="Heading2"/>
        <w:keepNext/>
        <w:spacing w:before="280" w:after="80"/>
      </w:pPr>
      <w:r>
        <w:rPr>
          <w:rFonts w:ascii="Calibri" w:hAnsi="Calibri"/>
          <w:b/>
          <w:color w:val="2563EB"/>
          <w:sz w:val="26"/>
        </w:rPr>
        <w:t>2.2 Who Is Affected by the Problem?</w:t>
      </w:r>
    </w:p>
    <w:p>
      <w:pPr>
        <w:spacing w:after="80" w:line="276" w:lineRule="auto"/>
      </w:pPr>
      <w:r>
        <w:rPr>
          <w:rFonts w:ascii="Calibri" w:hAnsi="Calibri"/>
          <w:color w:val="374151"/>
          <w:sz w:val="22"/>
        </w:rPr>
        <w:t>This problem directly impacts multiple telecom operational stakeholders:</w:t>
      </w:r>
    </w:p>
    <w:p>
      <w:pPr>
        <w:pStyle w:val="ListBullet"/>
        <w:spacing w:after="60" w:line="276" w:lineRule="auto"/>
      </w:pPr>
      <w:r>
        <w:rPr>
          <w:rFonts w:ascii="Calibri" w:hAnsi="Calibri"/>
          <w:b/>
          <w:color w:val="1F2937"/>
          <w:sz w:val="22"/>
        </w:rPr>
        <w:t xml:space="preserve">• Customer Care &amp; Retention Specialists: </w:t>
      </w:r>
      <w:r>
        <w:rPr>
          <w:rFonts w:ascii="Calibri" w:hAnsi="Calibri"/>
          <w:color w:val="374151"/>
          <w:sz w:val="22"/>
        </w:rPr>
        <w:t>Struggle with lack of real-time insights during subscriber inbound calls.</w:t>
      </w:r>
    </w:p>
    <w:p>
      <w:pPr>
        <w:pStyle w:val="ListBullet"/>
        <w:spacing w:after="60" w:line="276" w:lineRule="auto"/>
      </w:pPr>
      <w:r>
        <w:rPr>
          <w:rFonts w:ascii="Calibri" w:hAnsi="Calibri"/>
          <w:b/>
          <w:color w:val="1F2937"/>
          <w:sz w:val="22"/>
        </w:rPr>
        <w:t xml:space="preserve">• Marketing &amp; Growth Teams: </w:t>
      </w:r>
      <w:r>
        <w:rPr>
          <w:rFonts w:ascii="Calibri" w:hAnsi="Calibri"/>
          <w:color w:val="374151"/>
          <w:sz w:val="22"/>
        </w:rPr>
        <w:t>Suffer from wasted budget on uniform, untargeted discount campaigns.</w:t>
      </w:r>
    </w:p>
    <w:p>
      <w:pPr>
        <w:pStyle w:val="ListBullet"/>
        <w:spacing w:after="60" w:line="276" w:lineRule="auto"/>
      </w:pPr>
      <w:r>
        <w:rPr>
          <w:rFonts w:ascii="Calibri" w:hAnsi="Calibri"/>
          <w:b/>
          <w:color w:val="1F2937"/>
          <w:sz w:val="22"/>
        </w:rPr>
        <w:t xml:space="preserve">• Executive Leadership &amp; Finance: </w:t>
      </w:r>
      <w:r>
        <w:rPr>
          <w:rFonts w:ascii="Calibri" w:hAnsi="Calibri"/>
          <w:color w:val="374151"/>
          <w:sz w:val="22"/>
        </w:rPr>
        <w:t>Face eroding average revenue per user (ARPU) and customer lifetime value (LTV).</w:t>
      </w:r>
    </w:p>
    <w:p>
      <w:pPr>
        <w:pStyle w:val="ListBullet"/>
        <w:spacing w:after="60" w:line="276" w:lineRule="auto"/>
      </w:pPr>
      <w:r>
        <w:rPr>
          <w:rFonts w:ascii="Calibri" w:hAnsi="Calibri"/>
          <w:b/>
          <w:color w:val="1F2937"/>
          <w:sz w:val="22"/>
        </w:rPr>
        <w:t xml:space="preserve">• End Consumers: </w:t>
      </w:r>
      <w:r>
        <w:rPr>
          <w:rFonts w:ascii="Calibri" w:hAnsi="Calibri"/>
          <w:color w:val="374151"/>
          <w:sz w:val="22"/>
        </w:rPr>
        <w:t>Experience unresolved service friction leading to defection.</w:t>
      </w:r>
    </w:p>
    <w:p>
      <w:pPr>
        <w:pStyle w:val="Heading2"/>
        <w:keepNext/>
        <w:spacing w:before="280" w:after="80"/>
      </w:pPr>
      <w:r>
        <w:rPr>
          <w:rFonts w:ascii="Calibri" w:hAnsi="Calibri"/>
          <w:b/>
          <w:color w:val="2563EB"/>
          <w:sz w:val="26"/>
        </w:rPr>
        <w:t>2.3 What Are the Limitations of the Existing Approach?</w:t>
      </w:r>
    </w:p>
    <w:p>
      <w:pPr>
        <w:pStyle w:val="ListBullet"/>
        <w:spacing w:after="60" w:line="276" w:lineRule="auto"/>
      </w:pPr>
      <w:r>
        <w:rPr>
          <w:rFonts w:ascii="Calibri" w:hAnsi="Calibri"/>
          <w:b/>
          <w:color w:val="1F2937"/>
          <w:sz w:val="22"/>
        </w:rPr>
        <w:t xml:space="preserve">1. Reactive Detection: </w:t>
      </w:r>
      <w:r>
        <w:rPr>
          <w:rFonts w:ascii="Calibri" w:hAnsi="Calibri"/>
          <w:color w:val="374151"/>
          <w:sz w:val="22"/>
        </w:rPr>
        <w:t>Churn is identified only after the customer requests service termination or stops paying bills.</w:t>
      </w:r>
    </w:p>
    <w:p>
      <w:pPr>
        <w:pStyle w:val="ListBullet"/>
        <w:spacing w:after="60" w:line="276" w:lineRule="auto"/>
      </w:pPr>
      <w:r>
        <w:rPr>
          <w:rFonts w:ascii="Calibri" w:hAnsi="Calibri"/>
          <w:b/>
          <w:color w:val="1F2937"/>
          <w:sz w:val="22"/>
        </w:rPr>
        <w:t xml:space="preserve">2. Blanket Discounting Inefficiencies: </w:t>
      </w:r>
      <w:r>
        <w:rPr>
          <w:rFonts w:ascii="Calibri" w:hAnsi="Calibri"/>
          <w:color w:val="374151"/>
          <w:sz w:val="22"/>
        </w:rPr>
        <w:t>Standard retention campaigns distribute blanket promotions to entire subscriber bases, eroding profit margins on loyal customers who would not have left.</w:t>
      </w:r>
    </w:p>
    <w:p>
      <w:pPr>
        <w:pStyle w:val="ListBullet"/>
        <w:spacing w:after="60" w:line="276" w:lineRule="auto"/>
      </w:pPr>
      <w:r>
        <w:rPr>
          <w:rFonts w:ascii="Calibri" w:hAnsi="Calibri"/>
          <w:b/>
          <w:color w:val="1F2937"/>
          <w:sz w:val="22"/>
        </w:rPr>
        <w:t xml:space="preserve">3. Black-Box Opacity: </w:t>
      </w:r>
      <w:r>
        <w:rPr>
          <w:rFonts w:ascii="Calibri" w:hAnsi="Calibri"/>
          <w:color w:val="374151"/>
          <w:sz w:val="22"/>
        </w:rPr>
        <w:t>Conventional churn models output raw probability numbers without explaining why the customer is leaving, reducing agent trust.</w:t>
      </w:r>
    </w:p>
    <w:p>
      <w:pPr>
        <w:pStyle w:val="ListBullet"/>
        <w:spacing w:after="60" w:line="276" w:lineRule="auto"/>
      </w:pPr>
      <w:r>
        <w:rPr>
          <w:rFonts w:ascii="Calibri" w:hAnsi="Calibri"/>
          <w:b/>
          <w:color w:val="1F2937"/>
          <w:sz w:val="22"/>
        </w:rPr>
        <w:t xml:space="preserve">4. Lack of Simulation Capabilities: </w:t>
      </w:r>
      <w:r>
        <w:rPr>
          <w:rFonts w:ascii="Calibri" w:hAnsi="Calibri"/>
          <w:color w:val="374151"/>
          <w:sz w:val="22"/>
        </w:rPr>
        <w:t>Retention agents have no dynamic tools to evaluate the potential impact of retention packages before making counter-offers.</w:t>
      </w:r>
    </w:p>
    <w:p>
      <w:pPr>
        <w:pStyle w:val="Heading2"/>
        <w:keepNext/>
        <w:spacing w:before="280" w:after="80"/>
      </w:pPr>
      <w:r>
        <w:rPr>
          <w:rFonts w:ascii="Calibri" w:hAnsi="Calibri"/>
          <w:b/>
          <w:color w:val="2563EB"/>
          <w:sz w:val="26"/>
        </w:rPr>
        <w:t>2.4 Why Is an AI/ML-Based Solution Required?</w:t>
      </w:r>
    </w:p>
    <w:p>
      <w:pPr>
        <w:spacing w:after="80" w:line="276" w:lineRule="auto"/>
      </w:pPr>
      <w:r>
        <w:rPr>
          <w:rFonts w:ascii="Calibri" w:hAnsi="Calibri"/>
          <w:color w:val="374151"/>
          <w:sz w:val="22"/>
        </w:rPr>
        <w:t>Subscriber attrition involves complex, non-linear interactions between tenure, contract type, internet technology, payment methods, and bundled add-on services. Human intuition and rule-based heuristics cannot reliably weigh these 20+ interacting variables simultaneously. An AI/ML-based classifier trained on historical subscriber data learns the multidimensional decision boundaries necessary to accurately predict churn probability and uncover actionable retention levers.</w:t>
      </w:r>
    </w:p>
    <w:p>
      <w:pPr>
        <w:pStyle w:val="Heading1"/>
        <w:keepNext/>
        <w:spacing w:before="280" w:after="80"/>
      </w:pPr>
      <w:r>
        <w:rPr>
          <w:rFonts w:ascii="Calibri" w:hAnsi="Calibri"/>
          <w:b/>
          <w:color w:val="1E3A8A"/>
          <w:sz w:val="34"/>
        </w:rPr>
        <w:t>3. Objectives</w:t>
      </w:r>
    </w:p>
    <w:p>
      <w:pPr>
        <w:spacing w:after="80" w:line="276" w:lineRule="auto"/>
      </w:pPr>
      <w:r>
        <w:rPr>
          <w:rFonts w:ascii="Calibri" w:hAnsi="Calibri"/>
          <w:color w:val="374151"/>
          <w:sz w:val="22"/>
        </w:rPr>
        <w:t>The key objectives of this project are systematically defined as follows:</w:t>
      </w:r>
    </w:p>
    <w:p>
      <w:pPr>
        <w:pStyle w:val="ListBullet"/>
        <w:spacing w:after="60" w:line="276" w:lineRule="auto"/>
      </w:pPr>
      <w:r>
        <w:rPr>
          <w:rFonts w:ascii="Calibri" w:hAnsi="Calibri"/>
          <w:b/>
          <w:color w:val="1F2937"/>
          <w:sz w:val="22"/>
        </w:rPr>
        <w:t xml:space="preserve">1. Develop AI/ML Solution: </w:t>
      </w:r>
      <w:r>
        <w:rPr>
          <w:rFonts w:ascii="Calibri" w:hAnsi="Calibri"/>
          <w:color w:val="374151"/>
          <w:sz w:val="22"/>
        </w:rPr>
        <w:t>Develop an end-to-end AI/ML-based decision support system to accurately classify customer churn risk.</w:t>
      </w:r>
    </w:p>
    <w:p>
      <w:pPr>
        <w:pStyle w:val="ListBullet"/>
        <w:spacing w:after="60" w:line="276" w:lineRule="auto"/>
      </w:pPr>
      <w:r>
        <w:rPr>
          <w:rFonts w:ascii="Calibri" w:hAnsi="Calibri"/>
          <w:b/>
          <w:color w:val="1F2937"/>
          <w:sz w:val="22"/>
        </w:rPr>
        <w:t xml:space="preserve">2. Analyze Available Data: </w:t>
      </w:r>
      <w:r>
        <w:rPr>
          <w:rFonts w:ascii="Calibri" w:hAnsi="Calibri"/>
          <w:color w:val="374151"/>
          <w:sz w:val="22"/>
        </w:rPr>
        <w:t>Perform thorough Exploratory Data Analysis (EDA) on telecom subscriber records to uncover underlying behavioral patterns and risk factors.</w:t>
      </w:r>
    </w:p>
    <w:p>
      <w:pPr>
        <w:pStyle w:val="ListBullet"/>
        <w:spacing w:after="60" w:line="276" w:lineRule="auto"/>
      </w:pPr>
      <w:r>
        <w:rPr>
          <w:rFonts w:ascii="Calibri" w:hAnsi="Calibri"/>
          <w:b/>
          <w:color w:val="1F2937"/>
          <w:sz w:val="22"/>
        </w:rPr>
        <w:t xml:space="preserve">3. Build &amp; Train Suitable Model: </w:t>
      </w:r>
      <w:r>
        <w:rPr>
          <w:rFonts w:ascii="Calibri" w:hAnsi="Calibri"/>
          <w:color w:val="374151"/>
          <w:sz w:val="22"/>
        </w:rPr>
        <w:t>Train, optimize, and benchmark multiple supervised classification models to establish the most effective and interpretable architecture.</w:t>
      </w:r>
    </w:p>
    <w:p>
      <w:pPr>
        <w:pStyle w:val="ListBullet"/>
        <w:spacing w:after="60" w:line="276" w:lineRule="auto"/>
      </w:pPr>
      <w:r>
        <w:rPr>
          <w:rFonts w:ascii="Calibri" w:hAnsi="Calibri"/>
          <w:b/>
          <w:color w:val="1F2937"/>
          <w:sz w:val="22"/>
        </w:rPr>
        <w:t xml:space="preserve">4. Evaluate Model Performance: </w:t>
      </w:r>
      <w:r>
        <w:rPr>
          <w:rFonts w:ascii="Calibri" w:hAnsi="Calibri"/>
          <w:color w:val="374151"/>
          <w:sz w:val="22"/>
        </w:rPr>
        <w:t>Rigorously validate model performance using Accuracy, Precision, Recall, F1-Score, ROC-AUC, and Confusion Matrix metrics.</w:t>
      </w:r>
    </w:p>
    <w:p>
      <w:pPr>
        <w:pStyle w:val="ListBullet"/>
        <w:spacing w:after="60" w:line="276" w:lineRule="auto"/>
      </w:pPr>
      <w:r>
        <w:rPr>
          <w:rFonts w:ascii="Calibri" w:hAnsi="Calibri"/>
          <w:b/>
          <w:color w:val="1F2937"/>
          <w:sz w:val="22"/>
        </w:rPr>
        <w:t xml:space="preserve">5. Provide Actionable Predictions &amp; Insights: </w:t>
      </w:r>
      <w:r>
        <w:rPr>
          <w:rFonts w:ascii="Calibri" w:hAnsi="Calibri"/>
          <w:color w:val="374151"/>
          <w:sz w:val="22"/>
        </w:rPr>
        <w:t>Deliver calibrated predictions, localized explainability (log-odds attribution), financial risk exposure, and interactive What-If simulation via a production web dashboard.</w:t>
      </w:r>
    </w:p>
    <w:p>
      <w:r>
        <w:br w:type="page"/>
      </w:r>
    </w:p>
    <w:p>
      <w:pPr>
        <w:pStyle w:val="Heading1"/>
        <w:keepNext/>
        <w:spacing w:before="280" w:after="80"/>
      </w:pPr>
      <w:r>
        <w:rPr>
          <w:rFonts w:ascii="Calibri" w:hAnsi="Calibri"/>
          <w:b/>
          <w:color w:val="1E3A8A"/>
          <w:sz w:val="34"/>
        </w:rPr>
        <w:t>4. Project Scope</w:t>
      </w:r>
    </w:p>
    <w:p>
      <w:pPr>
        <w:spacing w:after="80" w:line="276" w:lineRule="auto"/>
      </w:pPr>
      <w:r>
        <w:rPr>
          <w:rFonts w:ascii="Calibri" w:hAnsi="Calibri"/>
          <w:color w:val="374151"/>
          <w:sz w:val="22"/>
        </w:rPr>
        <w:t>The scope and operational boundaries of the TelcoPulse AI project comprise:</w:t>
      </w:r>
    </w:p>
    <w:p>
      <w:pPr>
        <w:pStyle w:val="ListBullet"/>
        <w:spacing w:after="60" w:line="276" w:lineRule="auto"/>
      </w:pPr>
      <w:r>
        <w:rPr>
          <w:rFonts w:ascii="Calibri" w:hAnsi="Calibri"/>
          <w:b/>
          <w:color w:val="1F2937"/>
          <w:sz w:val="22"/>
        </w:rPr>
        <w:t xml:space="preserve">• Target Users: </w:t>
      </w:r>
      <w:r>
        <w:rPr>
          <w:rFonts w:ascii="Calibri" w:hAnsi="Calibri"/>
          <w:color w:val="374151"/>
          <w:sz w:val="22"/>
        </w:rPr>
        <w:t>Frontline Telecom Customer Support Representatives, Dedicated Retention Agents, Marketing Campaign Managers, and Executive Operations.</w:t>
      </w:r>
    </w:p>
    <w:p>
      <w:pPr>
        <w:pStyle w:val="ListBullet"/>
        <w:spacing w:after="60" w:line="276" w:lineRule="auto"/>
      </w:pPr>
      <w:r>
        <w:rPr>
          <w:rFonts w:ascii="Calibri" w:hAnsi="Calibri"/>
          <w:b/>
          <w:color w:val="1F2937"/>
          <w:sz w:val="22"/>
        </w:rPr>
        <w:t xml:space="preserve">• Application Area: </w:t>
      </w:r>
      <w:r>
        <w:rPr>
          <w:rFonts w:ascii="Calibri" w:hAnsi="Calibri"/>
          <w:color w:val="374151"/>
          <w:sz w:val="22"/>
        </w:rPr>
        <w:t>Telecommunication service providers managing broadband (DSL, Fiber optic), fixed-line telephony, and bundled digital value-added services.</w:t>
      </w:r>
    </w:p>
    <w:p>
      <w:pPr>
        <w:pStyle w:val="ListBullet"/>
        <w:spacing w:after="60" w:line="276" w:lineRule="auto"/>
      </w:pPr>
      <w:r>
        <w:rPr>
          <w:rFonts w:ascii="Calibri" w:hAnsi="Calibri"/>
          <w:b/>
          <w:color w:val="1F2937"/>
          <w:sz w:val="22"/>
        </w:rPr>
        <w:t xml:space="preserve">• Features Covered: </w:t>
      </w:r>
      <w:r>
        <w:rPr>
          <w:rFonts w:ascii="Calibri" w:hAnsi="Calibri"/>
          <w:color w:val="374151"/>
          <w:sz w:val="22"/>
        </w:rPr>
        <w:t>Single Customer Risk Diagnosis, What-If Strategy Simulator, Batch File Scoring (.csv), Executive Cohort Analytics, and Model Transparency Diagnostics.</w:t>
      </w:r>
    </w:p>
    <w:p>
      <w:pPr>
        <w:pStyle w:val="ListBullet"/>
        <w:spacing w:after="60" w:line="276" w:lineRule="auto"/>
      </w:pPr>
      <w:r>
        <w:rPr>
          <w:rFonts w:ascii="Calibri" w:hAnsi="Calibri"/>
          <w:b/>
          <w:color w:val="1F2937"/>
          <w:sz w:val="22"/>
        </w:rPr>
        <w:t xml:space="preserve">• Expected Outputs: </w:t>
      </w:r>
      <w:r>
        <w:rPr>
          <w:rFonts w:ascii="Calibri" w:hAnsi="Calibri"/>
          <w:color w:val="374151"/>
          <w:sz w:val="22"/>
        </w:rPr>
        <w:t>Calibrated Churn Probability (%), Risk Tier Categorization, Annual Financial Loss Estimation ($), Top Risk Factor Drivers, and Prescriptive Playbook Actions.</w:t>
      </w:r>
    </w:p>
    <w:p>
      <w:pPr>
        <w:pStyle w:val="ListBullet"/>
        <w:spacing w:after="60" w:line="276" w:lineRule="auto"/>
      </w:pPr>
      <w:r>
        <w:rPr>
          <w:rFonts w:ascii="Calibri" w:hAnsi="Calibri"/>
          <w:b/>
          <w:color w:val="1F2937"/>
          <w:sz w:val="22"/>
        </w:rPr>
        <w:t xml:space="preserve">• Current Project Limitations: </w:t>
      </w:r>
      <w:r>
        <w:rPr>
          <w:rFonts w:ascii="Calibri" w:hAnsi="Calibri"/>
          <w:color w:val="374151"/>
          <w:sz w:val="22"/>
        </w:rPr>
        <w:t>The project operates on static tabular snapshot data and does not ingest live continuous streaming network telemetry logs.</w:t>
      </w:r>
    </w:p>
    <w:p>
      <w:pPr>
        <w:pStyle w:val="Heading1"/>
        <w:keepNext/>
        <w:spacing w:before="280" w:after="80"/>
      </w:pPr>
      <w:r>
        <w:rPr>
          <w:rFonts w:ascii="Calibri" w:hAnsi="Calibri"/>
          <w:b/>
          <w:color w:val="1E3A8A"/>
          <w:sz w:val="34"/>
        </w:rPr>
        <w:t>5. Proposed System / Methodology</w:t>
      </w:r>
    </w:p>
    <w:p>
      <w:pPr>
        <w:spacing w:after="80" w:line="276" w:lineRule="auto"/>
      </w:pPr>
      <w:r>
        <w:rPr>
          <w:rFonts w:ascii="Calibri" w:hAnsi="Calibri"/>
          <w:color w:val="374151"/>
          <w:sz w:val="22"/>
        </w:rPr>
        <w:t>The overall end-to-end Machine Learning lifecycle is structured according to the following standardized sequential pipeline: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12" w:space="0" w:color="CBD5E1"/>
              <w:left w:val="single" w:sz="24" w:space="0" w:color="1E3A8A"/>
              <w:bottom w:val="single" w:sz="12" w:space="0" w:color="CBD5E1"/>
              <w:right w:val="single" w:sz="12" w:space="0" w:color="CBD5E1"/>
            </w:tcBorders>
          </w:tcPr>
          <w:p>
            <w:pPr>
              <w:spacing w:after="0"/>
              <w:jc w:val="center"/>
            </w:pPr>
            <w:r>
              <w:rPr>
                <w:rFonts w:ascii="Calibri" w:hAnsi="Calibri"/>
                <w:b/>
                <w:color w:val="1E3A8A"/>
                <w:sz w:val="21"/>
              </w:rPr>
              <w:t>Data Collection  ➔  Data Preprocessing  ➔  Feature Engineering  ➔  Model Selection  ➔  Model Training  ➔  Model Evaluation  ➔  Prediction &amp; Dashboard Output</w:t>
            </w:r>
          </w:p>
        </w:tc>
      </w:tr>
    </w:tbl>
    <w:p>
      <w:pPr>
        <w:spacing w:after="60"/>
      </w:pPr>
    </w:p>
    <w:tbl>
      <w:tblPr>
        <w:tblW w:type="auto" w:w="0"/>
        <w:jc w:val="center"/>
        <w:tblLook w:firstColumn="1" w:firstRow="1" w:lastColumn="0" w:lastRow="0" w:noHBand="0" w:noVBand="1" w:val="04A0"/>
      </w:tblPr>
      <w:tblGrid>
        <w:gridCol w:w="4680"/>
        <w:gridCol w:w="4680"/>
      </w:tblGrid>
      <w:tr>
        <w:tc>
          <w:tcPr>
            <w:tcW w:type="dxa" w:w="2880"/>
            <w:shd w:fill="1E3A8A"/>
            <w:tcMar>
              <w:top w:w="100" w:type="dxa"/>
              <w:bottom w:w="100" w:type="dxa"/>
              <w:left w:w="100" w:type="dxa"/>
              <w:right w:w="100" w:type="dxa"/>
            </w:tcMar>
          </w:tcPr>
          <w:p>
            <w:pPr>
              <w:jc w:val="center"/>
            </w:pPr>
            <w:r>
              <w:rPr>
                <w:rFonts w:ascii="Calibri" w:hAnsi="Calibri"/>
                <w:b/>
                <w:color w:val="FFFFFF"/>
                <w:sz w:val="19"/>
              </w:rPr>
              <w:t>Methodology Phase</w:t>
            </w:r>
          </w:p>
        </w:tc>
        <w:tc>
          <w:tcPr>
            <w:tcW w:type="dxa" w:w="6480"/>
            <w:shd w:fill="1E3A8A"/>
            <w:tcMar>
              <w:top w:w="100" w:type="dxa"/>
              <w:bottom w:w="100" w:type="dxa"/>
              <w:left w:w="100" w:type="dxa"/>
              <w:right w:w="100" w:type="dxa"/>
            </w:tcMar>
          </w:tcPr>
          <w:p>
            <w:pPr>
              <w:jc w:val="center"/>
            </w:pPr>
            <w:r>
              <w:rPr>
                <w:rFonts w:ascii="Calibri" w:hAnsi="Calibri"/>
                <w:b/>
                <w:color w:val="FFFFFF"/>
                <w:sz w:val="19"/>
              </w:rPr>
              <w:t>Key Activities &amp; Technical Outcomes</w:t>
            </w:r>
          </w:p>
        </w:tc>
      </w:tr>
      <w:tr>
        <w:tc>
          <w:tcPr>
            <w:tcW w:type="dxa" w:w="2880"/>
            <w:shd w:fill="FFFFFF"/>
            <w:tcMar>
              <w:top w:w="70" w:type="dxa"/>
              <w:bottom w:w="70" w:type="dxa"/>
              <w:left w:w="90" w:type="dxa"/>
              <w:right w:w="90" w:type="dxa"/>
            </w:tcMar>
          </w:tcPr>
          <w:p>
            <w:pPr>
              <w:jc w:val="left"/>
            </w:pPr>
            <w:r>
              <w:rPr>
                <w:rFonts w:ascii="Calibri" w:hAnsi="Calibri"/>
                <w:color w:val="1F2937"/>
                <w:sz w:val="18"/>
              </w:rPr>
              <w:t>Phase 1: Data Collection &amp; Ingestion</w:t>
            </w:r>
          </w:p>
        </w:tc>
        <w:tc>
          <w:tcPr>
            <w:tcW w:type="dxa" w:w="6480"/>
            <w:shd w:fill="FFFFFF"/>
            <w:tcMar>
              <w:top w:w="70" w:type="dxa"/>
              <w:bottom w:w="70" w:type="dxa"/>
              <w:left w:w="90" w:type="dxa"/>
              <w:right w:w="90" w:type="dxa"/>
            </w:tcMar>
          </w:tcPr>
          <w:p>
            <w:pPr>
              <w:jc w:val="center"/>
            </w:pPr>
            <w:r>
              <w:rPr>
                <w:rFonts w:ascii="Calibri" w:hAnsi="Calibri"/>
                <w:color w:val="1F2937"/>
                <w:sz w:val="18"/>
              </w:rPr>
              <w:t>Acquire the benchmark IBM Telco Customer Churn dataset comprising 7,043 customer accounts and 21 attributes.</w:t>
            </w:r>
          </w:p>
        </w:tc>
      </w:tr>
      <w:tr>
        <w:tc>
          <w:tcPr>
            <w:tcW w:type="dxa" w:w="2880"/>
            <w:shd w:fill="F8FAFC"/>
            <w:tcMar>
              <w:top w:w="70" w:type="dxa"/>
              <w:bottom w:w="70" w:type="dxa"/>
              <w:left w:w="90" w:type="dxa"/>
              <w:right w:w="90" w:type="dxa"/>
            </w:tcMar>
          </w:tcPr>
          <w:p>
            <w:pPr>
              <w:jc w:val="left"/>
            </w:pPr>
            <w:r>
              <w:rPr>
                <w:rFonts w:ascii="Calibri" w:hAnsi="Calibri"/>
                <w:color w:val="1F2937"/>
                <w:sz w:val="18"/>
              </w:rPr>
              <w:t>Phase 2: Data Preprocessing</w:t>
            </w:r>
          </w:p>
        </w:tc>
        <w:tc>
          <w:tcPr>
            <w:tcW w:type="dxa" w:w="6480"/>
            <w:shd w:fill="F8FAFC"/>
            <w:tcMar>
              <w:top w:w="70" w:type="dxa"/>
              <w:bottom w:w="70" w:type="dxa"/>
              <w:left w:w="90" w:type="dxa"/>
              <w:right w:w="90" w:type="dxa"/>
            </w:tcMar>
          </w:tcPr>
          <w:p>
            <w:pPr>
              <w:jc w:val="center"/>
            </w:pPr>
            <w:r>
              <w:rPr>
                <w:rFonts w:ascii="Calibri" w:hAnsi="Calibri"/>
                <w:color w:val="1F2937"/>
                <w:sz w:val="18"/>
              </w:rPr>
              <w:t>Clean missing whitespace anomalies in TotalCharges, verify duplicate records, and audit outlier distributions.</w:t>
            </w:r>
          </w:p>
        </w:tc>
      </w:tr>
      <w:tr>
        <w:tc>
          <w:tcPr>
            <w:tcW w:type="dxa" w:w="2880"/>
            <w:shd w:fill="FFFFFF"/>
            <w:tcMar>
              <w:top w:w="70" w:type="dxa"/>
              <w:bottom w:w="70" w:type="dxa"/>
              <w:left w:w="90" w:type="dxa"/>
              <w:right w:w="90" w:type="dxa"/>
            </w:tcMar>
          </w:tcPr>
          <w:p>
            <w:pPr>
              <w:jc w:val="left"/>
            </w:pPr>
            <w:r>
              <w:rPr>
                <w:rFonts w:ascii="Calibri" w:hAnsi="Calibri"/>
                <w:color w:val="1F2937"/>
                <w:sz w:val="18"/>
              </w:rPr>
              <w:t>Phase 3: Feature Engineering</w:t>
            </w:r>
          </w:p>
        </w:tc>
        <w:tc>
          <w:tcPr>
            <w:tcW w:type="dxa" w:w="6480"/>
            <w:shd w:fill="FFFFFF"/>
            <w:tcMar>
              <w:top w:w="70" w:type="dxa"/>
              <w:bottom w:w="70" w:type="dxa"/>
              <w:left w:w="90" w:type="dxa"/>
              <w:right w:w="90" w:type="dxa"/>
            </w:tcMar>
          </w:tcPr>
          <w:p>
            <w:pPr>
              <w:jc w:val="center"/>
            </w:pPr>
            <w:r>
              <w:rPr>
                <w:rFonts w:ascii="Calibri" w:hAnsi="Calibri"/>
                <w:color w:val="1F2937"/>
                <w:sz w:val="18"/>
              </w:rPr>
              <w:t>Apply OneHotEncoder with drop-first logic to categorical variables and StandardScaler to normalize continuous numerical features.</w:t>
            </w:r>
          </w:p>
        </w:tc>
      </w:tr>
      <w:tr>
        <w:tc>
          <w:tcPr>
            <w:tcW w:type="dxa" w:w="2880"/>
            <w:shd w:fill="F8FAFC"/>
            <w:tcMar>
              <w:top w:w="70" w:type="dxa"/>
              <w:bottom w:w="70" w:type="dxa"/>
              <w:left w:w="90" w:type="dxa"/>
              <w:right w:w="90" w:type="dxa"/>
            </w:tcMar>
          </w:tcPr>
          <w:p>
            <w:pPr>
              <w:jc w:val="left"/>
            </w:pPr>
            <w:r>
              <w:rPr>
                <w:rFonts w:ascii="Calibri" w:hAnsi="Calibri"/>
                <w:color w:val="1F2937"/>
                <w:sz w:val="18"/>
              </w:rPr>
              <w:t>Phase 4: Model Selection &amp; Training</w:t>
            </w:r>
          </w:p>
        </w:tc>
        <w:tc>
          <w:tcPr>
            <w:tcW w:type="dxa" w:w="6480"/>
            <w:shd w:fill="F8FAFC"/>
            <w:tcMar>
              <w:top w:w="70" w:type="dxa"/>
              <w:bottom w:w="70" w:type="dxa"/>
              <w:left w:w="90" w:type="dxa"/>
              <w:right w:w="90" w:type="dxa"/>
            </w:tcMar>
          </w:tcPr>
          <w:p>
            <w:pPr>
              <w:jc w:val="center"/>
            </w:pPr>
            <w:r>
              <w:rPr>
                <w:rFonts w:ascii="Calibri" w:hAnsi="Calibri"/>
                <w:color w:val="1F2937"/>
                <w:sz w:val="18"/>
              </w:rPr>
              <w:t>Train and benchmark multiple candidate classifiers (Logistic Regression, Random Forest, Decision Tree, SVM, KNN) using stratified 80/20 train-test splits.</w:t>
            </w:r>
          </w:p>
        </w:tc>
      </w:tr>
      <w:tr>
        <w:tc>
          <w:tcPr>
            <w:tcW w:type="dxa" w:w="2880"/>
            <w:shd w:fill="FFFFFF"/>
            <w:tcMar>
              <w:top w:w="70" w:type="dxa"/>
              <w:bottom w:w="70" w:type="dxa"/>
              <w:left w:w="90" w:type="dxa"/>
              <w:right w:w="90" w:type="dxa"/>
            </w:tcMar>
          </w:tcPr>
          <w:p>
            <w:pPr>
              <w:jc w:val="left"/>
            </w:pPr>
            <w:r>
              <w:rPr>
                <w:rFonts w:ascii="Calibri" w:hAnsi="Calibri"/>
                <w:color w:val="1F2937"/>
                <w:sz w:val="18"/>
              </w:rPr>
              <w:t>Phase 5: Model Evaluation</w:t>
            </w:r>
          </w:p>
        </w:tc>
        <w:tc>
          <w:tcPr>
            <w:tcW w:type="dxa" w:w="6480"/>
            <w:shd w:fill="FFFFFF"/>
            <w:tcMar>
              <w:top w:w="70" w:type="dxa"/>
              <w:bottom w:w="70" w:type="dxa"/>
              <w:left w:w="90" w:type="dxa"/>
              <w:right w:w="90" w:type="dxa"/>
            </w:tcMar>
          </w:tcPr>
          <w:p>
            <w:pPr>
              <w:jc w:val="center"/>
            </w:pPr>
            <w:r>
              <w:rPr>
                <w:rFonts w:ascii="Calibri" w:hAnsi="Calibri"/>
                <w:color w:val="1F2937"/>
                <w:sz w:val="18"/>
              </w:rPr>
              <w:t>Evaluate models across Accuracy, Precision, Recall, F1-Score, ROC-AUC, and Confusion Matrix to select the optimal model.</w:t>
            </w:r>
          </w:p>
        </w:tc>
      </w:tr>
      <w:tr>
        <w:tc>
          <w:tcPr>
            <w:tcW w:type="dxa" w:w="2880"/>
            <w:shd w:fill="F8FAFC"/>
            <w:tcMar>
              <w:top w:w="70" w:type="dxa"/>
              <w:bottom w:w="70" w:type="dxa"/>
              <w:left w:w="90" w:type="dxa"/>
              <w:right w:w="90" w:type="dxa"/>
            </w:tcMar>
          </w:tcPr>
          <w:p>
            <w:pPr>
              <w:jc w:val="left"/>
            </w:pPr>
            <w:r>
              <w:rPr>
                <w:rFonts w:ascii="Calibri" w:hAnsi="Calibri"/>
                <w:color w:val="1F2937"/>
                <w:sz w:val="18"/>
              </w:rPr>
              <w:t>Phase 6: Explainability Integration</w:t>
            </w:r>
          </w:p>
        </w:tc>
        <w:tc>
          <w:tcPr>
            <w:tcW w:type="dxa" w:w="6480"/>
            <w:shd w:fill="F8FAFC"/>
            <w:tcMar>
              <w:top w:w="70" w:type="dxa"/>
              <w:bottom w:w="70" w:type="dxa"/>
              <w:left w:w="90" w:type="dxa"/>
              <w:right w:w="90" w:type="dxa"/>
            </w:tcMar>
          </w:tcPr>
          <w:p>
            <w:pPr>
              <w:jc w:val="center"/>
            </w:pPr>
            <w:r>
              <w:rPr>
                <w:rFonts w:ascii="Calibri" w:hAnsi="Calibri"/>
                <w:color w:val="1F2937"/>
                <w:sz w:val="18"/>
              </w:rPr>
              <w:t>Extract beta coefficients and log-odds contributions to build localized risk attribution bars for every individual inference.</w:t>
            </w:r>
          </w:p>
        </w:tc>
      </w:tr>
      <w:tr>
        <w:tc>
          <w:tcPr>
            <w:tcW w:type="dxa" w:w="2880"/>
            <w:shd w:fill="FFFFFF"/>
            <w:tcMar>
              <w:top w:w="70" w:type="dxa"/>
              <w:bottom w:w="70" w:type="dxa"/>
              <w:left w:w="90" w:type="dxa"/>
              <w:right w:w="90" w:type="dxa"/>
            </w:tcMar>
          </w:tcPr>
          <w:p>
            <w:pPr>
              <w:jc w:val="left"/>
            </w:pPr>
            <w:r>
              <w:rPr>
                <w:rFonts w:ascii="Calibri" w:hAnsi="Calibri"/>
                <w:color w:val="1F2937"/>
                <w:sz w:val="18"/>
              </w:rPr>
              <w:t>Phase 7: Web Dashboard &amp; Deployment</w:t>
            </w:r>
          </w:p>
        </w:tc>
        <w:tc>
          <w:tcPr>
            <w:tcW w:type="dxa" w:w="6480"/>
            <w:shd w:fill="FFFFFF"/>
            <w:tcMar>
              <w:top w:w="70" w:type="dxa"/>
              <w:bottom w:w="70" w:type="dxa"/>
              <w:left w:w="90" w:type="dxa"/>
              <w:right w:w="90" w:type="dxa"/>
            </w:tcMar>
          </w:tcPr>
          <w:p>
            <w:pPr>
              <w:jc w:val="center"/>
            </w:pPr>
            <w:r>
              <w:rPr>
                <w:rFonts w:ascii="Calibri" w:hAnsi="Calibri"/>
                <w:color w:val="1F2937"/>
                <w:sz w:val="18"/>
              </w:rPr>
              <w:t>Develop an interactive decision support dashboard using Streamlit and deploy the application live to Streamlit Cloud.</w:t>
            </w:r>
          </w:p>
        </w:tc>
      </w:tr>
    </w:tbl>
    <w:p>
      <w:pPr>
        <w:pStyle w:val="Heading1"/>
        <w:keepNext/>
        <w:spacing w:before="280" w:after="80"/>
      </w:pPr>
      <w:r>
        <w:rPr>
          <w:rFonts w:ascii="Calibri" w:hAnsi="Calibri"/>
          <w:b/>
          <w:color w:val="1E3A8A"/>
          <w:sz w:val="34"/>
        </w:rPr>
        <w:t>6. Dataset Description</w:t>
      </w:r>
    </w:p>
    <w:p>
      <w:pPr>
        <w:spacing w:after="80" w:line="276" w:lineRule="auto"/>
      </w:pPr>
      <w:r>
        <w:rPr>
          <w:rFonts w:ascii="Calibri" w:hAnsi="Calibri"/>
          <w:color w:val="374151"/>
          <w:sz w:val="22"/>
        </w:rPr>
        <w:t>The project utilizes the standardized IBM Telecommunications Customer Churn dataset. The dataset provides comprehensive cross-sectional records of 7,043 unique residential telecom subscribers across 21 attributes covering demographics, subscribed services, account tenure, payment methods, and historical churn status.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2563EB"/>
              <w:bottom w:val="none"/>
              <w:right w:val="none"/>
            </w:tcBorders>
          </w:tcPr>
          <w:p>
            <w:pPr>
              <w:spacing w:after="0"/>
            </w:pPr>
            <w:r>
              <w:rPr>
                <w:rFonts w:ascii="Calibri" w:hAnsi="Calibri"/>
                <w:b/>
                <w:color w:val="1E3A8A"/>
                <w:sz w:val="20"/>
              </w:rPr>
              <w:t xml:space="preserve">💡 DATASET SUMMARY SPECIFICATIONS: </w:t>
            </w:r>
            <w:r>
              <w:rPr>
                <w:rFonts w:ascii="Calibri" w:hAnsi="Calibri"/>
                <w:color w:val="1E3A8A"/>
                <w:sz w:val="20"/>
              </w:rPr>
              <w:t>Dataset Source: IBM Business Analytics Community / Kaggle Benchmark Telco Churn Repository | Total Records: 7,043 | Total Features: 21 | Target Variable: Churn (Yes: 1,869 [26.54%], No: 5,174 [73.46%])</w:t>
            </w:r>
          </w:p>
        </w:tc>
      </w:tr>
    </w:tbl>
    <w:p>
      <w:pPr>
        <w:spacing w:after="60"/>
      </w:pPr>
    </w:p>
    <w:p>
      <w:pPr>
        <w:pStyle w:val="Heading2"/>
        <w:keepNext/>
        <w:spacing w:before="280" w:after="80"/>
      </w:pPr>
      <w:r>
        <w:rPr>
          <w:rFonts w:ascii="Calibri" w:hAnsi="Calibri"/>
          <w:b/>
          <w:color w:val="2563EB"/>
          <w:sz w:val="26"/>
        </w:rPr>
        <w:t>6.1 Sample Dataset Records (First 5 Rows)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fill="1E3A8A"/>
            <w:tcMar>
              <w:top w:w="100" w:type="dxa"/>
              <w:bottom w:w="100" w:type="dxa"/>
              <w:left w:w="100" w:type="dxa"/>
              <w:right w:w="100" w:type="dxa"/>
            </w:tcMar>
          </w:tcPr>
          <w:p>
            <w:pPr>
              <w:jc w:val="center"/>
            </w:pPr>
            <w:r>
              <w:rPr>
                <w:rFonts w:ascii="Calibri" w:hAnsi="Calibri"/>
                <w:b/>
                <w:color w:val="FFFFFF"/>
                <w:sz w:val="19"/>
              </w:rPr>
              <w:t>customerID</w:t>
            </w:r>
          </w:p>
        </w:tc>
        <w:tc>
          <w:tcPr>
            <w:tcW w:type="dxa" w:w="1008"/>
            <w:shd w:fill="1E3A8A"/>
            <w:tcMar>
              <w:top w:w="100" w:type="dxa"/>
              <w:bottom w:w="100" w:type="dxa"/>
              <w:left w:w="100" w:type="dxa"/>
              <w:right w:w="100" w:type="dxa"/>
            </w:tcMar>
          </w:tcPr>
          <w:p>
            <w:pPr>
              <w:jc w:val="center"/>
            </w:pPr>
            <w:r>
              <w:rPr>
                <w:rFonts w:ascii="Calibri" w:hAnsi="Calibri"/>
                <w:b/>
                <w:color w:val="FFFFFF"/>
                <w:sz w:val="19"/>
              </w:rPr>
              <w:t>gender</w:t>
            </w:r>
          </w:p>
        </w:tc>
        <w:tc>
          <w:tcPr>
            <w:tcW w:type="dxa" w:w="1008"/>
            <w:shd w:fill="1E3A8A"/>
            <w:tcMar>
              <w:top w:w="100" w:type="dxa"/>
              <w:bottom w:w="100" w:type="dxa"/>
              <w:left w:w="100" w:type="dxa"/>
              <w:right w:w="100" w:type="dxa"/>
            </w:tcMar>
          </w:tcPr>
          <w:p>
            <w:pPr>
              <w:jc w:val="center"/>
            </w:pPr>
            <w:r>
              <w:rPr>
                <w:rFonts w:ascii="Calibri" w:hAnsi="Calibri"/>
                <w:b/>
                <w:color w:val="FFFFFF"/>
                <w:sz w:val="19"/>
              </w:rPr>
              <w:t>tenure</w:t>
            </w:r>
          </w:p>
        </w:tc>
        <w:tc>
          <w:tcPr>
            <w:tcW w:type="dxa" w:w="1728"/>
            <w:shd w:fill="1E3A8A"/>
            <w:tcMar>
              <w:top w:w="100" w:type="dxa"/>
              <w:bottom w:w="100" w:type="dxa"/>
              <w:left w:w="100" w:type="dxa"/>
              <w:right w:w="100" w:type="dxa"/>
            </w:tcMar>
          </w:tcPr>
          <w:p>
            <w:pPr>
              <w:jc w:val="center"/>
            </w:pPr>
            <w:r>
              <w:rPr>
                <w:rFonts w:ascii="Calibri" w:hAnsi="Calibri"/>
                <w:b/>
                <w:color w:val="FFFFFF"/>
                <w:sz w:val="19"/>
              </w:rPr>
              <w:t>Contract</w:t>
            </w:r>
          </w:p>
        </w:tc>
        <w:tc>
          <w:tcPr>
            <w:tcW w:type="dxa" w:w="1728"/>
            <w:shd w:fill="1E3A8A"/>
            <w:tcMar>
              <w:top w:w="100" w:type="dxa"/>
              <w:bottom w:w="100" w:type="dxa"/>
              <w:left w:w="100" w:type="dxa"/>
              <w:right w:w="100" w:type="dxa"/>
            </w:tcMar>
          </w:tcPr>
          <w:p>
            <w:pPr>
              <w:jc w:val="center"/>
            </w:pPr>
            <w:r>
              <w:rPr>
                <w:rFonts w:ascii="Calibri" w:hAnsi="Calibri"/>
                <w:b/>
                <w:color w:val="FFFFFF"/>
                <w:sz w:val="19"/>
              </w:rPr>
              <w:t>PaymentMethod</w:t>
            </w:r>
          </w:p>
        </w:tc>
        <w:tc>
          <w:tcPr>
            <w:tcW w:type="dxa" w:w="1008"/>
            <w:shd w:fill="1E3A8A"/>
            <w:tcMar>
              <w:top w:w="100" w:type="dxa"/>
              <w:bottom w:w="100" w:type="dxa"/>
              <w:left w:w="100" w:type="dxa"/>
              <w:right w:w="100" w:type="dxa"/>
            </w:tcMar>
          </w:tcPr>
          <w:p>
            <w:pPr>
              <w:jc w:val="center"/>
            </w:pPr>
            <w:r>
              <w:rPr>
                <w:rFonts w:ascii="Calibri" w:hAnsi="Calibri"/>
                <w:b/>
                <w:color w:val="FFFFFF"/>
                <w:sz w:val="19"/>
              </w:rPr>
              <w:t>Monthly</w:t>
            </w:r>
          </w:p>
        </w:tc>
        <w:tc>
          <w:tcPr>
            <w:tcW w:type="dxa" w:w="1008"/>
            <w:shd w:fill="1E3A8A"/>
            <w:tcMar>
              <w:top w:w="100" w:type="dxa"/>
              <w:bottom w:w="100" w:type="dxa"/>
              <w:left w:w="100" w:type="dxa"/>
              <w:right w:w="100" w:type="dxa"/>
            </w:tcMar>
          </w:tcPr>
          <w:p>
            <w:pPr>
              <w:jc w:val="center"/>
            </w:pPr>
            <w:r>
              <w:rPr>
                <w:rFonts w:ascii="Calibri" w:hAnsi="Calibri"/>
                <w:b/>
                <w:color w:val="FFFFFF"/>
                <w:sz w:val="19"/>
              </w:rPr>
              <w:t>Total</w:t>
            </w:r>
          </w:p>
        </w:tc>
        <w:tc>
          <w:tcPr>
            <w:tcW w:type="dxa" w:w="1008"/>
            <w:shd w:fill="1E3A8A"/>
            <w:tcMar>
              <w:top w:w="100" w:type="dxa"/>
              <w:bottom w:w="100" w:type="dxa"/>
              <w:left w:w="100" w:type="dxa"/>
              <w:right w:w="100" w:type="dxa"/>
            </w:tcMar>
          </w:tcPr>
          <w:p>
            <w:pPr>
              <w:jc w:val="center"/>
            </w:pPr>
            <w:r>
              <w:rPr>
                <w:rFonts w:ascii="Calibri" w:hAnsi="Calibri"/>
                <w:b/>
                <w:color w:val="FFFFFF"/>
                <w:sz w:val="19"/>
              </w:rPr>
              <w:t>Churn</w:t>
            </w:r>
          </w:p>
        </w:tc>
      </w:tr>
      <w:tr>
        <w:tc>
          <w:tcPr>
            <w:tcW w:type="dxa" w:w="1584"/>
            <w:shd w:fill="FFFFFF"/>
            <w:tcMar>
              <w:top w:w="70" w:type="dxa"/>
              <w:bottom w:w="70" w:type="dxa"/>
              <w:left w:w="90" w:type="dxa"/>
              <w:right w:w="90" w:type="dxa"/>
            </w:tcMar>
          </w:tcPr>
          <w:p>
            <w:pPr>
              <w:jc w:val="left"/>
            </w:pPr>
            <w:r>
              <w:rPr>
                <w:rFonts w:ascii="Calibri" w:hAnsi="Calibri"/>
                <w:color w:val="1F2937"/>
                <w:sz w:val="18"/>
              </w:rPr>
              <w:t>7590-VHVEG</w:t>
            </w:r>
          </w:p>
        </w:tc>
        <w:tc>
          <w:tcPr>
            <w:tcW w:type="dxa" w:w="1008"/>
            <w:shd w:fill="FFFFFF"/>
            <w:tcMar>
              <w:top w:w="70" w:type="dxa"/>
              <w:bottom w:w="70" w:type="dxa"/>
              <w:left w:w="90" w:type="dxa"/>
              <w:right w:w="90" w:type="dxa"/>
            </w:tcMar>
          </w:tcPr>
          <w:p>
            <w:pPr>
              <w:jc w:val="center"/>
            </w:pPr>
            <w:r>
              <w:rPr>
                <w:rFonts w:ascii="Calibri" w:hAnsi="Calibri"/>
                <w:color w:val="1F2937"/>
                <w:sz w:val="18"/>
              </w:rPr>
              <w:t>Female</w:t>
            </w:r>
          </w:p>
        </w:tc>
        <w:tc>
          <w:tcPr>
            <w:tcW w:type="dxa" w:w="1008"/>
            <w:shd w:fill="FFFFFF"/>
            <w:tcMar>
              <w:top w:w="70" w:type="dxa"/>
              <w:bottom w:w="70" w:type="dxa"/>
              <w:left w:w="90" w:type="dxa"/>
              <w:right w:w="90" w:type="dxa"/>
            </w:tcMar>
          </w:tcPr>
          <w:p>
            <w:pPr>
              <w:jc w:val="center"/>
            </w:pPr>
            <w:r>
              <w:rPr>
                <w:rFonts w:ascii="Calibri" w:hAnsi="Calibri"/>
                <w:color w:val="1F2937"/>
                <w:sz w:val="18"/>
              </w:rPr>
              <w:t>1 mo</w:t>
            </w:r>
          </w:p>
        </w:tc>
        <w:tc>
          <w:tcPr>
            <w:tcW w:type="dxa" w:w="1728"/>
            <w:shd w:fill="FFFFFF"/>
            <w:tcMar>
              <w:top w:w="70" w:type="dxa"/>
              <w:bottom w:w="70" w:type="dxa"/>
              <w:left w:w="90" w:type="dxa"/>
              <w:right w:w="90" w:type="dxa"/>
            </w:tcMar>
          </w:tcPr>
          <w:p>
            <w:pPr>
              <w:jc w:val="center"/>
            </w:pPr>
            <w:r>
              <w:rPr>
                <w:rFonts w:ascii="Calibri" w:hAnsi="Calibri"/>
                <w:color w:val="1F2937"/>
                <w:sz w:val="18"/>
              </w:rPr>
              <w:t>Month-to-month</w:t>
            </w:r>
          </w:p>
        </w:tc>
        <w:tc>
          <w:tcPr>
            <w:tcW w:type="dxa" w:w="1728"/>
            <w:shd w:fill="FFFFFF"/>
            <w:tcMar>
              <w:top w:w="70" w:type="dxa"/>
              <w:bottom w:w="70" w:type="dxa"/>
              <w:left w:w="90" w:type="dxa"/>
              <w:right w:w="90" w:type="dxa"/>
            </w:tcMar>
          </w:tcPr>
          <w:p>
            <w:pPr>
              <w:jc w:val="center"/>
            </w:pPr>
            <w:r>
              <w:rPr>
                <w:rFonts w:ascii="Calibri" w:hAnsi="Calibri"/>
                <w:color w:val="1F2937"/>
                <w:sz w:val="18"/>
              </w:rPr>
              <w:t>Electronic check</w:t>
            </w:r>
          </w:p>
        </w:tc>
        <w:tc>
          <w:tcPr>
            <w:tcW w:type="dxa" w:w="1008"/>
            <w:shd w:fill="FFFFFF"/>
            <w:tcMar>
              <w:top w:w="70" w:type="dxa"/>
              <w:bottom w:w="70" w:type="dxa"/>
              <w:left w:w="90" w:type="dxa"/>
              <w:right w:w="90" w:type="dxa"/>
            </w:tcMar>
          </w:tcPr>
          <w:p>
            <w:pPr>
              <w:jc w:val="center"/>
            </w:pPr>
            <w:r>
              <w:rPr>
                <w:rFonts w:ascii="Calibri" w:hAnsi="Calibri"/>
                <w:color w:val="1F2937"/>
                <w:sz w:val="18"/>
              </w:rPr>
              <w:t>$29.85</w:t>
            </w:r>
          </w:p>
        </w:tc>
        <w:tc>
          <w:tcPr>
            <w:tcW w:type="dxa" w:w="1008"/>
            <w:shd w:fill="FFFFFF"/>
            <w:tcMar>
              <w:top w:w="70" w:type="dxa"/>
              <w:bottom w:w="70" w:type="dxa"/>
              <w:left w:w="90" w:type="dxa"/>
              <w:right w:w="90" w:type="dxa"/>
            </w:tcMar>
          </w:tcPr>
          <w:p>
            <w:pPr>
              <w:jc w:val="center"/>
            </w:pPr>
            <w:r>
              <w:rPr>
                <w:rFonts w:ascii="Calibri" w:hAnsi="Calibri"/>
                <w:color w:val="1F2937"/>
                <w:sz w:val="18"/>
              </w:rPr>
              <w:t>$29.85</w:t>
            </w:r>
          </w:p>
        </w:tc>
        <w:tc>
          <w:tcPr>
            <w:tcW w:type="dxa" w:w="1008"/>
            <w:shd w:fill="FFFFFF"/>
            <w:tcMar>
              <w:top w:w="70" w:type="dxa"/>
              <w:bottom w:w="70" w:type="dxa"/>
              <w:left w:w="90" w:type="dxa"/>
              <w:right w:w="90" w:type="dxa"/>
            </w:tcMar>
          </w:tcPr>
          <w:p>
            <w:pPr>
              <w:jc w:val="center"/>
            </w:pPr>
            <w:r>
              <w:rPr>
                <w:rFonts w:ascii="Calibri" w:hAnsi="Calibri"/>
                <w:color w:val="1F2937"/>
                <w:sz w:val="18"/>
              </w:rPr>
              <w:t>No (0)</w:t>
            </w:r>
          </w:p>
        </w:tc>
      </w:tr>
      <w:tr>
        <w:tc>
          <w:tcPr>
            <w:tcW w:type="dxa" w:w="1584"/>
            <w:shd w:fill="F8FAFC"/>
            <w:tcMar>
              <w:top w:w="70" w:type="dxa"/>
              <w:bottom w:w="70" w:type="dxa"/>
              <w:left w:w="90" w:type="dxa"/>
              <w:right w:w="90" w:type="dxa"/>
            </w:tcMar>
          </w:tcPr>
          <w:p>
            <w:pPr>
              <w:jc w:val="left"/>
            </w:pPr>
            <w:r>
              <w:rPr>
                <w:rFonts w:ascii="Calibri" w:hAnsi="Calibri"/>
                <w:color w:val="1F2937"/>
                <w:sz w:val="18"/>
              </w:rPr>
              <w:t>5575-GNVDE</w:t>
            </w:r>
          </w:p>
        </w:tc>
        <w:tc>
          <w:tcPr>
            <w:tcW w:type="dxa" w:w="1008"/>
            <w:shd w:fill="F8FAFC"/>
            <w:tcMar>
              <w:top w:w="70" w:type="dxa"/>
              <w:bottom w:w="70" w:type="dxa"/>
              <w:left w:w="90" w:type="dxa"/>
              <w:right w:w="90" w:type="dxa"/>
            </w:tcMar>
          </w:tcPr>
          <w:p>
            <w:pPr>
              <w:jc w:val="center"/>
            </w:pPr>
            <w:r>
              <w:rPr>
                <w:rFonts w:ascii="Calibri" w:hAnsi="Calibri"/>
                <w:color w:val="1F2937"/>
                <w:sz w:val="18"/>
              </w:rPr>
              <w:t>Male</w:t>
            </w:r>
          </w:p>
        </w:tc>
        <w:tc>
          <w:tcPr>
            <w:tcW w:type="dxa" w:w="1008"/>
            <w:shd w:fill="F8FAFC"/>
            <w:tcMar>
              <w:top w:w="70" w:type="dxa"/>
              <w:bottom w:w="70" w:type="dxa"/>
              <w:left w:w="90" w:type="dxa"/>
              <w:right w:w="90" w:type="dxa"/>
            </w:tcMar>
          </w:tcPr>
          <w:p>
            <w:pPr>
              <w:jc w:val="center"/>
            </w:pPr>
            <w:r>
              <w:rPr>
                <w:rFonts w:ascii="Calibri" w:hAnsi="Calibri"/>
                <w:color w:val="1F2937"/>
                <w:sz w:val="18"/>
              </w:rPr>
              <w:t>34 mo</w:t>
            </w:r>
          </w:p>
        </w:tc>
        <w:tc>
          <w:tcPr>
            <w:tcW w:type="dxa" w:w="1728"/>
            <w:shd w:fill="F8FAFC"/>
            <w:tcMar>
              <w:top w:w="70" w:type="dxa"/>
              <w:bottom w:w="70" w:type="dxa"/>
              <w:left w:w="90" w:type="dxa"/>
              <w:right w:w="90" w:type="dxa"/>
            </w:tcMar>
          </w:tcPr>
          <w:p>
            <w:pPr>
              <w:jc w:val="center"/>
            </w:pPr>
            <w:r>
              <w:rPr>
                <w:rFonts w:ascii="Calibri" w:hAnsi="Calibri"/>
                <w:color w:val="1F2937"/>
                <w:sz w:val="18"/>
              </w:rPr>
              <w:t>One year</w:t>
            </w:r>
          </w:p>
        </w:tc>
        <w:tc>
          <w:tcPr>
            <w:tcW w:type="dxa" w:w="1728"/>
            <w:shd w:fill="F8FAFC"/>
            <w:tcMar>
              <w:top w:w="70" w:type="dxa"/>
              <w:bottom w:w="70" w:type="dxa"/>
              <w:left w:w="90" w:type="dxa"/>
              <w:right w:w="90" w:type="dxa"/>
            </w:tcMar>
          </w:tcPr>
          <w:p>
            <w:pPr>
              <w:jc w:val="center"/>
            </w:pPr>
            <w:r>
              <w:rPr>
                <w:rFonts w:ascii="Calibri" w:hAnsi="Calibri"/>
                <w:color w:val="1F2937"/>
                <w:sz w:val="18"/>
              </w:rPr>
              <w:t>Mailed check</w:t>
            </w:r>
          </w:p>
        </w:tc>
        <w:tc>
          <w:tcPr>
            <w:tcW w:type="dxa" w:w="1008"/>
            <w:shd w:fill="F8FAFC"/>
            <w:tcMar>
              <w:top w:w="70" w:type="dxa"/>
              <w:bottom w:w="70" w:type="dxa"/>
              <w:left w:w="90" w:type="dxa"/>
              <w:right w:w="90" w:type="dxa"/>
            </w:tcMar>
          </w:tcPr>
          <w:p>
            <w:pPr>
              <w:jc w:val="center"/>
            </w:pPr>
            <w:r>
              <w:rPr>
                <w:rFonts w:ascii="Calibri" w:hAnsi="Calibri"/>
                <w:color w:val="1F2937"/>
                <w:sz w:val="18"/>
              </w:rPr>
              <w:t>$56.95</w:t>
            </w:r>
          </w:p>
        </w:tc>
        <w:tc>
          <w:tcPr>
            <w:tcW w:type="dxa" w:w="1008"/>
            <w:shd w:fill="F8FAFC"/>
            <w:tcMar>
              <w:top w:w="70" w:type="dxa"/>
              <w:bottom w:w="70" w:type="dxa"/>
              <w:left w:w="90" w:type="dxa"/>
              <w:right w:w="90" w:type="dxa"/>
            </w:tcMar>
          </w:tcPr>
          <w:p>
            <w:pPr>
              <w:jc w:val="center"/>
            </w:pPr>
            <w:r>
              <w:rPr>
                <w:rFonts w:ascii="Calibri" w:hAnsi="Calibri"/>
                <w:color w:val="1F2937"/>
                <w:sz w:val="18"/>
              </w:rPr>
              <w:t>$1889.50</w:t>
            </w:r>
          </w:p>
        </w:tc>
        <w:tc>
          <w:tcPr>
            <w:tcW w:type="dxa" w:w="1008"/>
            <w:shd w:fill="F8FAFC"/>
            <w:tcMar>
              <w:top w:w="70" w:type="dxa"/>
              <w:bottom w:w="70" w:type="dxa"/>
              <w:left w:w="90" w:type="dxa"/>
              <w:right w:w="90" w:type="dxa"/>
            </w:tcMar>
          </w:tcPr>
          <w:p>
            <w:pPr>
              <w:jc w:val="center"/>
            </w:pPr>
            <w:r>
              <w:rPr>
                <w:rFonts w:ascii="Calibri" w:hAnsi="Calibri"/>
                <w:color w:val="1F2937"/>
                <w:sz w:val="18"/>
              </w:rPr>
              <w:t>No (0)</w:t>
            </w:r>
          </w:p>
        </w:tc>
      </w:tr>
      <w:tr>
        <w:tc>
          <w:tcPr>
            <w:tcW w:type="dxa" w:w="1584"/>
            <w:shd w:fill="FFFFFF"/>
            <w:tcMar>
              <w:top w:w="70" w:type="dxa"/>
              <w:bottom w:w="70" w:type="dxa"/>
              <w:left w:w="90" w:type="dxa"/>
              <w:right w:w="90" w:type="dxa"/>
            </w:tcMar>
          </w:tcPr>
          <w:p>
            <w:pPr>
              <w:jc w:val="left"/>
            </w:pPr>
            <w:r>
              <w:rPr>
                <w:rFonts w:ascii="Calibri" w:hAnsi="Calibri"/>
                <w:color w:val="1F2937"/>
                <w:sz w:val="18"/>
              </w:rPr>
              <w:t>3668-QPYBK</w:t>
            </w:r>
          </w:p>
        </w:tc>
        <w:tc>
          <w:tcPr>
            <w:tcW w:type="dxa" w:w="1008"/>
            <w:shd w:fill="FFFFFF"/>
            <w:tcMar>
              <w:top w:w="70" w:type="dxa"/>
              <w:bottom w:w="70" w:type="dxa"/>
              <w:left w:w="90" w:type="dxa"/>
              <w:right w:w="90" w:type="dxa"/>
            </w:tcMar>
          </w:tcPr>
          <w:p>
            <w:pPr>
              <w:jc w:val="center"/>
            </w:pPr>
            <w:r>
              <w:rPr>
                <w:rFonts w:ascii="Calibri" w:hAnsi="Calibri"/>
                <w:color w:val="1F2937"/>
                <w:sz w:val="18"/>
              </w:rPr>
              <w:t>Male</w:t>
            </w:r>
          </w:p>
        </w:tc>
        <w:tc>
          <w:tcPr>
            <w:tcW w:type="dxa" w:w="1008"/>
            <w:shd w:fill="FFFFFF"/>
            <w:tcMar>
              <w:top w:w="70" w:type="dxa"/>
              <w:bottom w:w="70" w:type="dxa"/>
              <w:left w:w="90" w:type="dxa"/>
              <w:right w:w="90" w:type="dxa"/>
            </w:tcMar>
          </w:tcPr>
          <w:p>
            <w:pPr>
              <w:jc w:val="center"/>
            </w:pPr>
            <w:r>
              <w:rPr>
                <w:rFonts w:ascii="Calibri" w:hAnsi="Calibri"/>
                <w:color w:val="1F2937"/>
                <w:sz w:val="18"/>
              </w:rPr>
              <w:t>2 mo</w:t>
            </w:r>
          </w:p>
        </w:tc>
        <w:tc>
          <w:tcPr>
            <w:tcW w:type="dxa" w:w="1728"/>
            <w:shd w:fill="FFFFFF"/>
            <w:tcMar>
              <w:top w:w="70" w:type="dxa"/>
              <w:bottom w:w="70" w:type="dxa"/>
              <w:left w:w="90" w:type="dxa"/>
              <w:right w:w="90" w:type="dxa"/>
            </w:tcMar>
          </w:tcPr>
          <w:p>
            <w:pPr>
              <w:jc w:val="center"/>
            </w:pPr>
            <w:r>
              <w:rPr>
                <w:rFonts w:ascii="Calibri" w:hAnsi="Calibri"/>
                <w:color w:val="1F2937"/>
                <w:sz w:val="18"/>
              </w:rPr>
              <w:t>Month-to-month</w:t>
            </w:r>
          </w:p>
        </w:tc>
        <w:tc>
          <w:tcPr>
            <w:tcW w:type="dxa" w:w="1728"/>
            <w:shd w:fill="FFFFFF"/>
            <w:tcMar>
              <w:top w:w="70" w:type="dxa"/>
              <w:bottom w:w="70" w:type="dxa"/>
              <w:left w:w="90" w:type="dxa"/>
              <w:right w:w="90" w:type="dxa"/>
            </w:tcMar>
          </w:tcPr>
          <w:p>
            <w:pPr>
              <w:jc w:val="center"/>
            </w:pPr>
            <w:r>
              <w:rPr>
                <w:rFonts w:ascii="Calibri" w:hAnsi="Calibri"/>
                <w:color w:val="1F2937"/>
                <w:sz w:val="18"/>
              </w:rPr>
              <w:t>Mailed check</w:t>
            </w:r>
          </w:p>
        </w:tc>
        <w:tc>
          <w:tcPr>
            <w:tcW w:type="dxa" w:w="1008"/>
            <w:shd w:fill="FFFFFF"/>
            <w:tcMar>
              <w:top w:w="70" w:type="dxa"/>
              <w:bottom w:w="70" w:type="dxa"/>
              <w:left w:w="90" w:type="dxa"/>
              <w:right w:w="90" w:type="dxa"/>
            </w:tcMar>
          </w:tcPr>
          <w:p>
            <w:pPr>
              <w:jc w:val="center"/>
            </w:pPr>
            <w:r>
              <w:rPr>
                <w:rFonts w:ascii="Calibri" w:hAnsi="Calibri"/>
                <w:color w:val="1F2937"/>
                <w:sz w:val="18"/>
              </w:rPr>
              <w:t>$53.85</w:t>
            </w:r>
          </w:p>
        </w:tc>
        <w:tc>
          <w:tcPr>
            <w:tcW w:type="dxa" w:w="1008"/>
            <w:shd w:fill="FFFFFF"/>
            <w:tcMar>
              <w:top w:w="70" w:type="dxa"/>
              <w:bottom w:w="70" w:type="dxa"/>
              <w:left w:w="90" w:type="dxa"/>
              <w:right w:w="90" w:type="dxa"/>
            </w:tcMar>
          </w:tcPr>
          <w:p>
            <w:pPr>
              <w:jc w:val="center"/>
            </w:pPr>
            <w:r>
              <w:rPr>
                <w:rFonts w:ascii="Calibri" w:hAnsi="Calibri"/>
                <w:color w:val="1F2937"/>
                <w:sz w:val="18"/>
              </w:rPr>
              <w:t>$108.15</w:t>
            </w:r>
          </w:p>
        </w:tc>
        <w:tc>
          <w:tcPr>
            <w:tcW w:type="dxa" w:w="1008"/>
            <w:shd w:fill="FFFFFF"/>
            <w:tcMar>
              <w:top w:w="70" w:type="dxa"/>
              <w:bottom w:w="70" w:type="dxa"/>
              <w:left w:w="90" w:type="dxa"/>
              <w:right w:w="90" w:type="dxa"/>
            </w:tcMar>
          </w:tcPr>
          <w:p>
            <w:pPr>
              <w:jc w:val="center"/>
            </w:pPr>
            <w:r>
              <w:rPr>
                <w:rFonts w:ascii="Calibri" w:hAnsi="Calibri"/>
                <w:color w:val="1F2937"/>
                <w:sz w:val="18"/>
              </w:rPr>
              <w:t>Yes (1)</w:t>
            </w:r>
          </w:p>
        </w:tc>
      </w:tr>
      <w:tr>
        <w:tc>
          <w:tcPr>
            <w:tcW w:type="dxa" w:w="1584"/>
            <w:shd w:fill="F8FAFC"/>
            <w:tcMar>
              <w:top w:w="70" w:type="dxa"/>
              <w:bottom w:w="70" w:type="dxa"/>
              <w:left w:w="90" w:type="dxa"/>
              <w:right w:w="90" w:type="dxa"/>
            </w:tcMar>
          </w:tcPr>
          <w:p>
            <w:pPr>
              <w:jc w:val="left"/>
            </w:pPr>
            <w:r>
              <w:rPr>
                <w:rFonts w:ascii="Calibri" w:hAnsi="Calibri"/>
                <w:color w:val="1F2937"/>
                <w:sz w:val="18"/>
              </w:rPr>
              <w:t>7795-CFOCW</w:t>
            </w:r>
          </w:p>
        </w:tc>
        <w:tc>
          <w:tcPr>
            <w:tcW w:type="dxa" w:w="1008"/>
            <w:shd w:fill="F8FAFC"/>
            <w:tcMar>
              <w:top w:w="70" w:type="dxa"/>
              <w:bottom w:w="70" w:type="dxa"/>
              <w:left w:w="90" w:type="dxa"/>
              <w:right w:w="90" w:type="dxa"/>
            </w:tcMar>
          </w:tcPr>
          <w:p>
            <w:pPr>
              <w:jc w:val="center"/>
            </w:pPr>
            <w:r>
              <w:rPr>
                <w:rFonts w:ascii="Calibri" w:hAnsi="Calibri"/>
                <w:color w:val="1F2937"/>
                <w:sz w:val="18"/>
              </w:rPr>
              <w:t>Male</w:t>
            </w:r>
          </w:p>
        </w:tc>
        <w:tc>
          <w:tcPr>
            <w:tcW w:type="dxa" w:w="1008"/>
            <w:shd w:fill="F8FAFC"/>
            <w:tcMar>
              <w:top w:w="70" w:type="dxa"/>
              <w:bottom w:w="70" w:type="dxa"/>
              <w:left w:w="90" w:type="dxa"/>
              <w:right w:w="90" w:type="dxa"/>
            </w:tcMar>
          </w:tcPr>
          <w:p>
            <w:pPr>
              <w:jc w:val="center"/>
            </w:pPr>
            <w:r>
              <w:rPr>
                <w:rFonts w:ascii="Calibri" w:hAnsi="Calibri"/>
                <w:color w:val="1F2937"/>
                <w:sz w:val="18"/>
              </w:rPr>
              <w:t>45 mo</w:t>
            </w:r>
          </w:p>
        </w:tc>
        <w:tc>
          <w:tcPr>
            <w:tcW w:type="dxa" w:w="1728"/>
            <w:shd w:fill="F8FAFC"/>
            <w:tcMar>
              <w:top w:w="70" w:type="dxa"/>
              <w:bottom w:w="70" w:type="dxa"/>
              <w:left w:w="90" w:type="dxa"/>
              <w:right w:w="90" w:type="dxa"/>
            </w:tcMar>
          </w:tcPr>
          <w:p>
            <w:pPr>
              <w:jc w:val="center"/>
            </w:pPr>
            <w:r>
              <w:rPr>
                <w:rFonts w:ascii="Calibri" w:hAnsi="Calibri"/>
                <w:color w:val="1F2937"/>
                <w:sz w:val="18"/>
              </w:rPr>
              <w:t>One year</w:t>
            </w:r>
          </w:p>
        </w:tc>
        <w:tc>
          <w:tcPr>
            <w:tcW w:type="dxa" w:w="1728"/>
            <w:shd w:fill="F8FAFC"/>
            <w:tcMar>
              <w:top w:w="70" w:type="dxa"/>
              <w:bottom w:w="70" w:type="dxa"/>
              <w:left w:w="90" w:type="dxa"/>
              <w:right w:w="90" w:type="dxa"/>
            </w:tcMar>
          </w:tcPr>
          <w:p>
            <w:pPr>
              <w:jc w:val="center"/>
            </w:pPr>
            <w:r>
              <w:rPr>
                <w:rFonts w:ascii="Calibri" w:hAnsi="Calibri"/>
                <w:color w:val="1F2937"/>
                <w:sz w:val="18"/>
              </w:rPr>
              <w:t>Bank transfer</w:t>
            </w:r>
          </w:p>
        </w:tc>
        <w:tc>
          <w:tcPr>
            <w:tcW w:type="dxa" w:w="1008"/>
            <w:shd w:fill="F8FAFC"/>
            <w:tcMar>
              <w:top w:w="70" w:type="dxa"/>
              <w:bottom w:w="70" w:type="dxa"/>
              <w:left w:w="90" w:type="dxa"/>
              <w:right w:w="90" w:type="dxa"/>
            </w:tcMar>
          </w:tcPr>
          <w:p>
            <w:pPr>
              <w:jc w:val="center"/>
            </w:pPr>
            <w:r>
              <w:rPr>
                <w:rFonts w:ascii="Calibri" w:hAnsi="Calibri"/>
                <w:color w:val="1F2937"/>
                <w:sz w:val="18"/>
              </w:rPr>
              <w:t>$42.30</w:t>
            </w:r>
          </w:p>
        </w:tc>
        <w:tc>
          <w:tcPr>
            <w:tcW w:type="dxa" w:w="1008"/>
            <w:shd w:fill="F8FAFC"/>
            <w:tcMar>
              <w:top w:w="70" w:type="dxa"/>
              <w:bottom w:w="70" w:type="dxa"/>
              <w:left w:w="90" w:type="dxa"/>
              <w:right w:w="90" w:type="dxa"/>
            </w:tcMar>
          </w:tcPr>
          <w:p>
            <w:pPr>
              <w:jc w:val="center"/>
            </w:pPr>
            <w:r>
              <w:rPr>
                <w:rFonts w:ascii="Calibri" w:hAnsi="Calibri"/>
                <w:color w:val="1F2937"/>
                <w:sz w:val="18"/>
              </w:rPr>
              <w:t>$1840.75</w:t>
            </w:r>
          </w:p>
        </w:tc>
        <w:tc>
          <w:tcPr>
            <w:tcW w:type="dxa" w:w="1008"/>
            <w:shd w:fill="F8FAFC"/>
            <w:tcMar>
              <w:top w:w="70" w:type="dxa"/>
              <w:bottom w:w="70" w:type="dxa"/>
              <w:left w:w="90" w:type="dxa"/>
              <w:right w:w="90" w:type="dxa"/>
            </w:tcMar>
          </w:tcPr>
          <w:p>
            <w:pPr>
              <w:jc w:val="center"/>
            </w:pPr>
            <w:r>
              <w:rPr>
                <w:rFonts w:ascii="Calibri" w:hAnsi="Calibri"/>
                <w:color w:val="1F2937"/>
                <w:sz w:val="18"/>
              </w:rPr>
              <w:t>No (0)</w:t>
            </w:r>
          </w:p>
        </w:tc>
      </w:tr>
      <w:tr>
        <w:tc>
          <w:tcPr>
            <w:tcW w:type="dxa" w:w="1584"/>
            <w:shd w:fill="FFFFFF"/>
            <w:tcMar>
              <w:top w:w="70" w:type="dxa"/>
              <w:bottom w:w="70" w:type="dxa"/>
              <w:left w:w="90" w:type="dxa"/>
              <w:right w:w="90" w:type="dxa"/>
            </w:tcMar>
          </w:tcPr>
          <w:p>
            <w:pPr>
              <w:jc w:val="left"/>
            </w:pPr>
            <w:r>
              <w:rPr>
                <w:rFonts w:ascii="Calibri" w:hAnsi="Calibri"/>
                <w:color w:val="1F2937"/>
                <w:sz w:val="18"/>
              </w:rPr>
              <w:t>9237-HQITU</w:t>
            </w:r>
          </w:p>
        </w:tc>
        <w:tc>
          <w:tcPr>
            <w:tcW w:type="dxa" w:w="1008"/>
            <w:shd w:fill="FFFFFF"/>
            <w:tcMar>
              <w:top w:w="70" w:type="dxa"/>
              <w:bottom w:w="70" w:type="dxa"/>
              <w:left w:w="90" w:type="dxa"/>
              <w:right w:w="90" w:type="dxa"/>
            </w:tcMar>
          </w:tcPr>
          <w:p>
            <w:pPr>
              <w:jc w:val="center"/>
            </w:pPr>
            <w:r>
              <w:rPr>
                <w:rFonts w:ascii="Calibri" w:hAnsi="Calibri"/>
                <w:color w:val="1F2937"/>
                <w:sz w:val="18"/>
              </w:rPr>
              <w:t>Female</w:t>
            </w:r>
          </w:p>
        </w:tc>
        <w:tc>
          <w:tcPr>
            <w:tcW w:type="dxa" w:w="1008"/>
            <w:shd w:fill="FFFFFF"/>
            <w:tcMar>
              <w:top w:w="70" w:type="dxa"/>
              <w:bottom w:w="70" w:type="dxa"/>
              <w:left w:w="90" w:type="dxa"/>
              <w:right w:w="90" w:type="dxa"/>
            </w:tcMar>
          </w:tcPr>
          <w:p>
            <w:pPr>
              <w:jc w:val="center"/>
            </w:pPr>
            <w:r>
              <w:rPr>
                <w:rFonts w:ascii="Calibri" w:hAnsi="Calibri"/>
                <w:color w:val="1F2937"/>
                <w:sz w:val="18"/>
              </w:rPr>
              <w:t>2 mo</w:t>
            </w:r>
          </w:p>
        </w:tc>
        <w:tc>
          <w:tcPr>
            <w:tcW w:type="dxa" w:w="1728"/>
            <w:shd w:fill="FFFFFF"/>
            <w:tcMar>
              <w:top w:w="70" w:type="dxa"/>
              <w:bottom w:w="70" w:type="dxa"/>
              <w:left w:w="90" w:type="dxa"/>
              <w:right w:w="90" w:type="dxa"/>
            </w:tcMar>
          </w:tcPr>
          <w:p>
            <w:pPr>
              <w:jc w:val="center"/>
            </w:pPr>
            <w:r>
              <w:rPr>
                <w:rFonts w:ascii="Calibri" w:hAnsi="Calibri"/>
                <w:color w:val="1F2937"/>
                <w:sz w:val="18"/>
              </w:rPr>
              <w:t>Month-to-month</w:t>
            </w:r>
          </w:p>
        </w:tc>
        <w:tc>
          <w:tcPr>
            <w:tcW w:type="dxa" w:w="1728"/>
            <w:shd w:fill="FFFFFF"/>
            <w:tcMar>
              <w:top w:w="70" w:type="dxa"/>
              <w:bottom w:w="70" w:type="dxa"/>
              <w:left w:w="90" w:type="dxa"/>
              <w:right w:w="90" w:type="dxa"/>
            </w:tcMar>
          </w:tcPr>
          <w:p>
            <w:pPr>
              <w:jc w:val="center"/>
            </w:pPr>
            <w:r>
              <w:rPr>
                <w:rFonts w:ascii="Calibri" w:hAnsi="Calibri"/>
                <w:color w:val="1F2937"/>
                <w:sz w:val="18"/>
              </w:rPr>
              <w:t>Electronic check</w:t>
            </w:r>
          </w:p>
        </w:tc>
        <w:tc>
          <w:tcPr>
            <w:tcW w:type="dxa" w:w="1008"/>
            <w:shd w:fill="FFFFFF"/>
            <w:tcMar>
              <w:top w:w="70" w:type="dxa"/>
              <w:bottom w:w="70" w:type="dxa"/>
              <w:left w:w="90" w:type="dxa"/>
              <w:right w:w="90" w:type="dxa"/>
            </w:tcMar>
          </w:tcPr>
          <w:p>
            <w:pPr>
              <w:jc w:val="center"/>
            </w:pPr>
            <w:r>
              <w:rPr>
                <w:rFonts w:ascii="Calibri" w:hAnsi="Calibri"/>
                <w:color w:val="1F2937"/>
                <w:sz w:val="18"/>
              </w:rPr>
              <w:t>$70.70</w:t>
            </w:r>
          </w:p>
        </w:tc>
        <w:tc>
          <w:tcPr>
            <w:tcW w:type="dxa" w:w="1008"/>
            <w:shd w:fill="FFFFFF"/>
            <w:tcMar>
              <w:top w:w="70" w:type="dxa"/>
              <w:bottom w:w="70" w:type="dxa"/>
              <w:left w:w="90" w:type="dxa"/>
              <w:right w:w="90" w:type="dxa"/>
            </w:tcMar>
          </w:tcPr>
          <w:p>
            <w:pPr>
              <w:jc w:val="center"/>
            </w:pPr>
            <w:r>
              <w:rPr>
                <w:rFonts w:ascii="Calibri" w:hAnsi="Calibri"/>
                <w:color w:val="1F2937"/>
                <w:sz w:val="18"/>
              </w:rPr>
              <w:t>$151.65</w:t>
            </w:r>
          </w:p>
        </w:tc>
        <w:tc>
          <w:tcPr>
            <w:tcW w:type="dxa" w:w="1008"/>
            <w:shd w:fill="FFFFFF"/>
            <w:tcMar>
              <w:top w:w="70" w:type="dxa"/>
              <w:bottom w:w="70" w:type="dxa"/>
              <w:left w:w="90" w:type="dxa"/>
              <w:right w:w="90" w:type="dxa"/>
            </w:tcMar>
          </w:tcPr>
          <w:p>
            <w:pPr>
              <w:jc w:val="center"/>
            </w:pPr>
            <w:r>
              <w:rPr>
                <w:rFonts w:ascii="Calibri" w:hAnsi="Calibri"/>
                <w:color w:val="1F2937"/>
                <w:sz w:val="18"/>
              </w:rPr>
              <w:t>Yes (1)</w:t>
            </w:r>
          </w:p>
        </w:tc>
      </w:tr>
    </w:tbl>
    <w:p>
      <w:pPr>
        <w:pStyle w:val="Heading2"/>
        <w:keepNext/>
        <w:spacing w:before="280" w:after="80"/>
      </w:pPr>
      <w:r>
        <w:rPr>
          <w:rFonts w:ascii="Calibri" w:hAnsi="Calibri"/>
          <w:b/>
          <w:color w:val="2563EB"/>
          <w:sz w:val="26"/>
        </w:rPr>
        <w:t>6.2 Feature Attribute Dictionary</w:t>
      </w:r>
    </w:p>
    <w:tbl>
      <w:tblPr>
        <w:tblW w:type="auto" w:w="0"/>
        <w:jc w:val="center"/>
        <w:tblLook w:firstColumn="1" w:firstRow="1" w:lastColumn="0" w:lastRow="0" w:noHBand="0" w:noVBand="1" w:val="04A0"/>
      </w:tblPr>
      <w:tblGrid>
        <w:gridCol w:w="3120"/>
        <w:gridCol w:w="3120"/>
        <w:gridCol w:w="3120"/>
      </w:tblGrid>
      <w:tr>
        <w:tc>
          <w:tcPr>
            <w:tcW w:type="dxa" w:w="2304"/>
            <w:shd w:fill="1E3A8A"/>
            <w:tcMar>
              <w:top w:w="100" w:type="dxa"/>
              <w:bottom w:w="100" w:type="dxa"/>
              <w:left w:w="100" w:type="dxa"/>
              <w:right w:w="100" w:type="dxa"/>
            </w:tcMar>
          </w:tcPr>
          <w:p>
            <w:pPr>
              <w:jc w:val="center"/>
            </w:pPr>
            <w:r>
              <w:rPr>
                <w:rFonts w:ascii="Calibri" w:hAnsi="Calibri"/>
                <w:b/>
                <w:color w:val="FFFFFF"/>
                <w:sz w:val="19"/>
              </w:rPr>
              <w:t>Feature Name</w:t>
            </w:r>
          </w:p>
        </w:tc>
        <w:tc>
          <w:tcPr>
            <w:tcW w:type="dxa" w:w="2160"/>
            <w:shd w:fill="1E3A8A"/>
            <w:tcMar>
              <w:top w:w="100" w:type="dxa"/>
              <w:bottom w:w="100" w:type="dxa"/>
              <w:left w:w="100" w:type="dxa"/>
              <w:right w:w="100" w:type="dxa"/>
            </w:tcMar>
          </w:tcPr>
          <w:p>
            <w:pPr>
              <w:jc w:val="center"/>
            </w:pPr>
            <w:r>
              <w:rPr>
                <w:rFonts w:ascii="Calibri" w:hAnsi="Calibri"/>
                <w:b/>
                <w:color w:val="FFFFFF"/>
                <w:sz w:val="19"/>
              </w:rPr>
              <w:t>Data Type</w:t>
            </w:r>
          </w:p>
        </w:tc>
        <w:tc>
          <w:tcPr>
            <w:tcW w:type="dxa" w:w="4896"/>
            <w:shd w:fill="1E3A8A"/>
            <w:tcMar>
              <w:top w:w="100" w:type="dxa"/>
              <w:bottom w:w="100" w:type="dxa"/>
              <w:left w:w="100" w:type="dxa"/>
              <w:right w:w="100" w:type="dxa"/>
            </w:tcMar>
          </w:tcPr>
          <w:p>
            <w:pPr>
              <w:jc w:val="center"/>
            </w:pPr>
            <w:r>
              <w:rPr>
                <w:rFonts w:ascii="Calibri" w:hAnsi="Calibri"/>
                <w:b/>
                <w:color w:val="FFFFFF"/>
                <w:sz w:val="19"/>
              </w:rPr>
              <w:t>Description / Value Domain</w:t>
            </w:r>
          </w:p>
        </w:tc>
      </w:tr>
      <w:tr>
        <w:tc>
          <w:tcPr>
            <w:tcW w:type="dxa" w:w="2304"/>
            <w:shd w:fill="FFFFFF"/>
            <w:tcMar>
              <w:top w:w="70" w:type="dxa"/>
              <w:bottom w:w="70" w:type="dxa"/>
              <w:left w:w="90" w:type="dxa"/>
              <w:right w:w="90" w:type="dxa"/>
            </w:tcMar>
          </w:tcPr>
          <w:p>
            <w:pPr>
              <w:jc w:val="left"/>
            </w:pPr>
            <w:r>
              <w:rPr>
                <w:rFonts w:ascii="Calibri" w:hAnsi="Calibri"/>
                <w:color w:val="1F2937"/>
                <w:sz w:val="18"/>
              </w:rPr>
              <w:t>customerID</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(ID)</w:t>
            </w:r>
          </w:p>
        </w:tc>
        <w:tc>
          <w:tcPr>
            <w:tcW w:type="dxa" w:w="4896"/>
            <w:shd w:fill="FFFFFF"/>
            <w:tcMar>
              <w:top w:w="70" w:type="dxa"/>
              <w:bottom w:w="70" w:type="dxa"/>
              <w:left w:w="90" w:type="dxa"/>
              <w:right w:w="90" w:type="dxa"/>
            </w:tcMar>
          </w:tcPr>
          <w:p>
            <w:pPr>
              <w:jc w:val="center"/>
            </w:pPr>
            <w:r>
              <w:rPr>
                <w:rFonts w:ascii="Calibri" w:hAnsi="Calibri"/>
                <w:color w:val="1F2937"/>
                <w:sz w:val="18"/>
              </w:rPr>
              <w:t>Unique identifier assigned to each subscriber account</w:t>
            </w:r>
          </w:p>
        </w:tc>
      </w:tr>
      <w:tr>
        <w:tc>
          <w:tcPr>
            <w:tcW w:type="dxa" w:w="2304"/>
            <w:shd w:fill="F8FAFC"/>
            <w:tcMar>
              <w:top w:w="70" w:type="dxa"/>
              <w:bottom w:w="70" w:type="dxa"/>
              <w:left w:w="90" w:type="dxa"/>
              <w:right w:w="90" w:type="dxa"/>
            </w:tcMar>
          </w:tcPr>
          <w:p>
            <w:pPr>
              <w:jc w:val="left"/>
            </w:pPr>
            <w:r>
              <w:rPr>
                <w:rFonts w:ascii="Calibri" w:hAnsi="Calibri"/>
                <w:color w:val="1F2937"/>
                <w:sz w:val="18"/>
              </w:rPr>
              <w:t>gender</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8FAFC"/>
            <w:tcMar>
              <w:top w:w="70" w:type="dxa"/>
              <w:bottom w:w="70" w:type="dxa"/>
              <w:left w:w="90" w:type="dxa"/>
              <w:right w:w="90" w:type="dxa"/>
            </w:tcMar>
          </w:tcPr>
          <w:p>
            <w:pPr>
              <w:jc w:val="center"/>
            </w:pPr>
            <w:r>
              <w:rPr>
                <w:rFonts w:ascii="Calibri" w:hAnsi="Calibri"/>
                <w:color w:val="1F2937"/>
                <w:sz w:val="18"/>
              </w:rPr>
              <w:t>Male / Female</w:t>
            </w:r>
          </w:p>
        </w:tc>
      </w:tr>
      <w:tr>
        <w:tc>
          <w:tcPr>
            <w:tcW w:type="dxa" w:w="2304"/>
            <w:shd w:fill="FFFFFF"/>
            <w:tcMar>
              <w:top w:w="70" w:type="dxa"/>
              <w:bottom w:w="70" w:type="dxa"/>
              <w:left w:w="90" w:type="dxa"/>
              <w:right w:w="90" w:type="dxa"/>
            </w:tcMar>
          </w:tcPr>
          <w:p>
            <w:pPr>
              <w:jc w:val="left"/>
            </w:pPr>
            <w:r>
              <w:rPr>
                <w:rFonts w:ascii="Calibri" w:hAnsi="Calibri"/>
                <w:color w:val="1F2937"/>
                <w:sz w:val="18"/>
              </w:rPr>
              <w:t>SeniorCitizen</w:t>
            </w:r>
          </w:p>
        </w:tc>
        <w:tc>
          <w:tcPr>
            <w:tcW w:type="dxa" w:w="2160"/>
            <w:shd w:fill="FFFFFF"/>
            <w:tcMar>
              <w:top w:w="70" w:type="dxa"/>
              <w:bottom w:w="70" w:type="dxa"/>
              <w:left w:w="90" w:type="dxa"/>
              <w:right w:w="90" w:type="dxa"/>
            </w:tcMar>
          </w:tcPr>
          <w:p>
            <w:pPr>
              <w:jc w:val="center"/>
            </w:pPr>
            <w:r>
              <w:rPr>
                <w:rFonts w:ascii="Calibri" w:hAnsi="Calibri"/>
                <w:color w:val="1F2937"/>
                <w:sz w:val="18"/>
              </w:rPr>
              <w:t>Numerical (Binary)</w:t>
            </w:r>
          </w:p>
        </w:tc>
        <w:tc>
          <w:tcPr>
            <w:tcW w:type="dxa" w:w="4896"/>
            <w:shd w:fill="FFFFFF"/>
            <w:tcMar>
              <w:top w:w="70" w:type="dxa"/>
              <w:bottom w:w="70" w:type="dxa"/>
              <w:left w:w="90" w:type="dxa"/>
              <w:right w:w="90" w:type="dxa"/>
            </w:tcMar>
          </w:tcPr>
          <w:p>
            <w:pPr>
              <w:jc w:val="center"/>
            </w:pPr>
            <w:r>
              <w:rPr>
                <w:rFonts w:ascii="Calibri" w:hAnsi="Calibri"/>
                <w:color w:val="1F2937"/>
                <w:sz w:val="18"/>
              </w:rPr>
              <w:t>Whether subscriber is aged 65+ (1 = Yes, 0 = No)</w:t>
            </w:r>
          </w:p>
        </w:tc>
      </w:tr>
      <w:tr>
        <w:tc>
          <w:tcPr>
            <w:tcW w:type="dxa" w:w="2304"/>
            <w:shd w:fill="F8FAFC"/>
            <w:tcMar>
              <w:top w:w="70" w:type="dxa"/>
              <w:bottom w:w="70" w:type="dxa"/>
              <w:left w:w="90" w:type="dxa"/>
              <w:right w:w="90" w:type="dxa"/>
            </w:tcMar>
          </w:tcPr>
          <w:p>
            <w:pPr>
              <w:jc w:val="left"/>
            </w:pPr>
            <w:r>
              <w:rPr>
                <w:rFonts w:ascii="Calibri" w:hAnsi="Calibri"/>
                <w:color w:val="1F2937"/>
                <w:sz w:val="18"/>
              </w:rPr>
              <w:t>Partner</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8FAFC"/>
            <w:tcMar>
              <w:top w:w="70" w:type="dxa"/>
              <w:bottom w:w="70" w:type="dxa"/>
              <w:left w:w="90" w:type="dxa"/>
              <w:right w:w="90" w:type="dxa"/>
            </w:tcMar>
          </w:tcPr>
          <w:p>
            <w:pPr>
              <w:jc w:val="center"/>
            </w:pPr>
            <w:r>
              <w:rPr>
                <w:rFonts w:ascii="Calibri" w:hAnsi="Calibri"/>
                <w:color w:val="1F2937"/>
                <w:sz w:val="18"/>
              </w:rPr>
              <w:t>Whether subscriber has a spouse or partner (Yes / No)</w:t>
            </w:r>
          </w:p>
        </w:tc>
      </w:tr>
      <w:tr>
        <w:tc>
          <w:tcPr>
            <w:tcW w:type="dxa" w:w="2304"/>
            <w:shd w:fill="FFFFFF"/>
            <w:tcMar>
              <w:top w:w="70" w:type="dxa"/>
              <w:bottom w:w="70" w:type="dxa"/>
              <w:left w:w="90" w:type="dxa"/>
              <w:right w:w="90" w:type="dxa"/>
            </w:tcMar>
          </w:tcPr>
          <w:p>
            <w:pPr>
              <w:jc w:val="left"/>
            </w:pPr>
            <w:r>
              <w:rPr>
                <w:rFonts w:ascii="Calibri" w:hAnsi="Calibri"/>
                <w:color w:val="1F2937"/>
                <w:sz w:val="18"/>
              </w:rPr>
              <w:t>Dependents</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FFFFF"/>
            <w:tcMar>
              <w:top w:w="70" w:type="dxa"/>
              <w:bottom w:w="70" w:type="dxa"/>
              <w:left w:w="90" w:type="dxa"/>
              <w:right w:w="90" w:type="dxa"/>
            </w:tcMar>
          </w:tcPr>
          <w:p>
            <w:pPr>
              <w:jc w:val="center"/>
            </w:pPr>
            <w:r>
              <w:rPr>
                <w:rFonts w:ascii="Calibri" w:hAnsi="Calibri"/>
                <w:color w:val="1F2937"/>
                <w:sz w:val="18"/>
              </w:rPr>
              <w:t>Whether subscriber lives with dependents (Yes / No)</w:t>
            </w:r>
          </w:p>
        </w:tc>
      </w:tr>
      <w:tr>
        <w:tc>
          <w:tcPr>
            <w:tcW w:type="dxa" w:w="2304"/>
            <w:shd w:fill="F8FAFC"/>
            <w:tcMar>
              <w:top w:w="70" w:type="dxa"/>
              <w:bottom w:w="70" w:type="dxa"/>
              <w:left w:w="90" w:type="dxa"/>
              <w:right w:w="90" w:type="dxa"/>
            </w:tcMar>
          </w:tcPr>
          <w:p>
            <w:pPr>
              <w:jc w:val="left"/>
            </w:pPr>
            <w:r>
              <w:rPr>
                <w:rFonts w:ascii="Calibri" w:hAnsi="Calibri"/>
                <w:color w:val="1F2937"/>
                <w:sz w:val="18"/>
              </w:rPr>
              <w:t>tenure</w:t>
            </w:r>
          </w:p>
        </w:tc>
        <w:tc>
          <w:tcPr>
            <w:tcW w:type="dxa" w:w="2160"/>
            <w:shd w:fill="F8FAFC"/>
            <w:tcMar>
              <w:top w:w="70" w:type="dxa"/>
              <w:bottom w:w="70" w:type="dxa"/>
              <w:left w:w="90" w:type="dxa"/>
              <w:right w:w="90" w:type="dxa"/>
            </w:tcMar>
          </w:tcPr>
          <w:p>
            <w:pPr>
              <w:jc w:val="center"/>
            </w:pPr>
            <w:r>
              <w:rPr>
                <w:rFonts w:ascii="Calibri" w:hAnsi="Calibri"/>
                <w:color w:val="1F2937"/>
                <w:sz w:val="18"/>
              </w:rPr>
              <w:t>Numerical (Integer)</w:t>
            </w:r>
          </w:p>
        </w:tc>
        <w:tc>
          <w:tcPr>
            <w:tcW w:type="dxa" w:w="4896"/>
            <w:shd w:fill="F8FAFC"/>
            <w:tcMar>
              <w:top w:w="70" w:type="dxa"/>
              <w:bottom w:w="70" w:type="dxa"/>
              <w:left w:w="90" w:type="dxa"/>
              <w:right w:w="90" w:type="dxa"/>
            </w:tcMar>
          </w:tcPr>
          <w:p>
            <w:pPr>
              <w:jc w:val="center"/>
            </w:pPr>
            <w:r>
              <w:rPr>
                <w:rFonts w:ascii="Calibri" w:hAnsi="Calibri"/>
                <w:color w:val="1F2937"/>
                <w:sz w:val="18"/>
              </w:rPr>
              <w:t>Number of active subscription months with company (0 - 72)</w:t>
            </w:r>
          </w:p>
        </w:tc>
      </w:tr>
      <w:tr>
        <w:tc>
          <w:tcPr>
            <w:tcW w:type="dxa" w:w="2304"/>
            <w:shd w:fill="FFFFFF"/>
            <w:tcMar>
              <w:top w:w="70" w:type="dxa"/>
              <w:bottom w:w="70" w:type="dxa"/>
              <w:left w:w="90" w:type="dxa"/>
              <w:right w:w="90" w:type="dxa"/>
            </w:tcMar>
          </w:tcPr>
          <w:p>
            <w:pPr>
              <w:jc w:val="left"/>
            </w:pPr>
            <w:r>
              <w:rPr>
                <w:rFonts w:ascii="Calibri" w:hAnsi="Calibri"/>
                <w:color w:val="1F2937"/>
                <w:sz w:val="18"/>
              </w:rPr>
              <w:t>PhoneService</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FFFFF"/>
            <w:tcMar>
              <w:top w:w="70" w:type="dxa"/>
              <w:bottom w:w="70" w:type="dxa"/>
              <w:left w:w="90" w:type="dxa"/>
              <w:right w:w="90" w:type="dxa"/>
            </w:tcMar>
          </w:tcPr>
          <w:p>
            <w:pPr>
              <w:jc w:val="center"/>
            </w:pPr>
            <w:r>
              <w:rPr>
                <w:rFonts w:ascii="Calibri" w:hAnsi="Calibri"/>
                <w:color w:val="1F2937"/>
                <w:sz w:val="18"/>
              </w:rPr>
              <w:t>Whether subscriber has active fixed-line telephone service (Yes / No)</w:t>
            </w:r>
          </w:p>
        </w:tc>
      </w:tr>
      <w:tr>
        <w:tc>
          <w:tcPr>
            <w:tcW w:type="dxa" w:w="2304"/>
            <w:shd w:fill="F8FAFC"/>
            <w:tcMar>
              <w:top w:w="70" w:type="dxa"/>
              <w:bottom w:w="70" w:type="dxa"/>
              <w:left w:w="90" w:type="dxa"/>
              <w:right w:w="90" w:type="dxa"/>
            </w:tcMar>
          </w:tcPr>
          <w:p>
            <w:pPr>
              <w:jc w:val="left"/>
            </w:pPr>
            <w:r>
              <w:rPr>
                <w:rFonts w:ascii="Calibri" w:hAnsi="Calibri"/>
                <w:color w:val="1F2937"/>
                <w:sz w:val="18"/>
              </w:rPr>
              <w:t>MultipleLines</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8FAFC"/>
            <w:tcMar>
              <w:top w:w="70" w:type="dxa"/>
              <w:bottom w:w="70" w:type="dxa"/>
              <w:left w:w="90" w:type="dxa"/>
              <w:right w:w="90" w:type="dxa"/>
            </w:tcMar>
          </w:tcPr>
          <w:p>
            <w:pPr>
              <w:jc w:val="center"/>
            </w:pPr>
            <w:r>
              <w:rPr>
                <w:rFonts w:ascii="Calibri" w:hAnsi="Calibri"/>
                <w:color w:val="1F2937"/>
                <w:sz w:val="18"/>
              </w:rPr>
              <w:t>No, Yes, No phone service</w:t>
            </w:r>
          </w:p>
        </w:tc>
      </w:tr>
      <w:tr>
        <w:tc>
          <w:tcPr>
            <w:tcW w:type="dxa" w:w="2304"/>
            <w:shd w:fill="FFFFFF"/>
            <w:tcMar>
              <w:top w:w="70" w:type="dxa"/>
              <w:bottom w:w="70" w:type="dxa"/>
              <w:left w:w="90" w:type="dxa"/>
              <w:right w:w="90" w:type="dxa"/>
            </w:tcMar>
          </w:tcPr>
          <w:p>
            <w:pPr>
              <w:jc w:val="left"/>
            </w:pPr>
            <w:r>
              <w:rPr>
                <w:rFonts w:ascii="Calibri" w:hAnsi="Calibri"/>
                <w:color w:val="1F2937"/>
                <w:sz w:val="18"/>
              </w:rPr>
              <w:t>InternetService</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FFFFF"/>
            <w:tcMar>
              <w:top w:w="70" w:type="dxa"/>
              <w:bottom w:w="70" w:type="dxa"/>
              <w:left w:w="90" w:type="dxa"/>
              <w:right w:w="90" w:type="dxa"/>
            </w:tcMar>
          </w:tcPr>
          <w:p>
            <w:pPr>
              <w:jc w:val="center"/>
            </w:pPr>
            <w:r>
              <w:rPr>
                <w:rFonts w:ascii="Calibri" w:hAnsi="Calibri"/>
                <w:color w:val="1F2937"/>
                <w:sz w:val="18"/>
              </w:rPr>
              <w:t>DSL, Fiber optic, No</w:t>
            </w:r>
          </w:p>
        </w:tc>
      </w:tr>
      <w:tr>
        <w:tc>
          <w:tcPr>
            <w:tcW w:type="dxa" w:w="2304"/>
            <w:shd w:fill="F8FAFC"/>
            <w:tcMar>
              <w:top w:w="70" w:type="dxa"/>
              <w:bottom w:w="70" w:type="dxa"/>
              <w:left w:w="90" w:type="dxa"/>
              <w:right w:w="90" w:type="dxa"/>
            </w:tcMar>
          </w:tcPr>
          <w:p>
            <w:pPr>
              <w:jc w:val="left"/>
            </w:pPr>
            <w:r>
              <w:rPr>
                <w:rFonts w:ascii="Calibri" w:hAnsi="Calibri"/>
                <w:color w:val="1F2937"/>
                <w:sz w:val="18"/>
              </w:rPr>
              <w:t>OnlineSecurity</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8FAFC"/>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FFFFF"/>
            <w:tcMar>
              <w:top w:w="70" w:type="dxa"/>
              <w:bottom w:w="70" w:type="dxa"/>
              <w:left w:w="90" w:type="dxa"/>
              <w:right w:w="90" w:type="dxa"/>
            </w:tcMar>
          </w:tcPr>
          <w:p>
            <w:pPr>
              <w:jc w:val="left"/>
            </w:pPr>
            <w:r>
              <w:rPr>
                <w:rFonts w:ascii="Calibri" w:hAnsi="Calibri"/>
                <w:color w:val="1F2937"/>
                <w:sz w:val="18"/>
              </w:rPr>
              <w:t>OnlineBackup</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FFFFF"/>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8FAFC"/>
            <w:tcMar>
              <w:top w:w="70" w:type="dxa"/>
              <w:bottom w:w="70" w:type="dxa"/>
              <w:left w:w="90" w:type="dxa"/>
              <w:right w:w="90" w:type="dxa"/>
            </w:tcMar>
          </w:tcPr>
          <w:p>
            <w:pPr>
              <w:jc w:val="left"/>
            </w:pPr>
            <w:r>
              <w:rPr>
                <w:rFonts w:ascii="Calibri" w:hAnsi="Calibri"/>
                <w:color w:val="1F2937"/>
                <w:sz w:val="18"/>
              </w:rPr>
              <w:t>DeviceProtection</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8FAFC"/>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FFFFF"/>
            <w:tcMar>
              <w:top w:w="70" w:type="dxa"/>
              <w:bottom w:w="70" w:type="dxa"/>
              <w:left w:w="90" w:type="dxa"/>
              <w:right w:w="90" w:type="dxa"/>
            </w:tcMar>
          </w:tcPr>
          <w:p>
            <w:pPr>
              <w:jc w:val="left"/>
            </w:pPr>
            <w:r>
              <w:rPr>
                <w:rFonts w:ascii="Calibri" w:hAnsi="Calibri"/>
                <w:color w:val="1F2937"/>
                <w:sz w:val="18"/>
              </w:rPr>
              <w:t>TechSupport</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FFFFF"/>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8FAFC"/>
            <w:tcMar>
              <w:top w:w="70" w:type="dxa"/>
              <w:bottom w:w="70" w:type="dxa"/>
              <w:left w:w="90" w:type="dxa"/>
              <w:right w:w="90" w:type="dxa"/>
            </w:tcMar>
          </w:tcPr>
          <w:p>
            <w:pPr>
              <w:jc w:val="left"/>
            </w:pPr>
            <w:r>
              <w:rPr>
                <w:rFonts w:ascii="Calibri" w:hAnsi="Calibri"/>
                <w:color w:val="1F2937"/>
                <w:sz w:val="18"/>
              </w:rPr>
              <w:t>StreamingTV</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8FAFC"/>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FFFFF"/>
            <w:tcMar>
              <w:top w:w="70" w:type="dxa"/>
              <w:bottom w:w="70" w:type="dxa"/>
              <w:left w:w="90" w:type="dxa"/>
              <w:right w:w="90" w:type="dxa"/>
            </w:tcMar>
          </w:tcPr>
          <w:p>
            <w:pPr>
              <w:jc w:val="left"/>
            </w:pPr>
            <w:r>
              <w:rPr>
                <w:rFonts w:ascii="Calibri" w:hAnsi="Calibri"/>
                <w:color w:val="1F2937"/>
                <w:sz w:val="18"/>
              </w:rPr>
              <w:t>StreamingMovies</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FFFFF"/>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8FAFC"/>
            <w:tcMar>
              <w:top w:w="70" w:type="dxa"/>
              <w:bottom w:w="70" w:type="dxa"/>
              <w:left w:w="90" w:type="dxa"/>
              <w:right w:w="90" w:type="dxa"/>
            </w:tcMar>
          </w:tcPr>
          <w:p>
            <w:pPr>
              <w:jc w:val="left"/>
            </w:pPr>
            <w:r>
              <w:rPr>
                <w:rFonts w:ascii="Calibri" w:hAnsi="Calibri"/>
                <w:color w:val="1F2937"/>
                <w:sz w:val="18"/>
              </w:rPr>
              <w:t>Contract</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8FAFC"/>
            <w:tcMar>
              <w:top w:w="70" w:type="dxa"/>
              <w:bottom w:w="70" w:type="dxa"/>
              <w:left w:w="90" w:type="dxa"/>
              <w:right w:w="90" w:type="dxa"/>
            </w:tcMar>
          </w:tcPr>
          <w:p>
            <w:pPr>
              <w:jc w:val="center"/>
            </w:pPr>
            <w:r>
              <w:rPr>
                <w:rFonts w:ascii="Calibri" w:hAnsi="Calibri"/>
                <w:color w:val="1F2937"/>
                <w:sz w:val="18"/>
              </w:rPr>
              <w:t>Month-to-month, One year, Two year</w:t>
            </w:r>
          </w:p>
        </w:tc>
      </w:tr>
      <w:tr>
        <w:tc>
          <w:tcPr>
            <w:tcW w:type="dxa" w:w="2304"/>
            <w:shd w:fill="FFFFFF"/>
            <w:tcMar>
              <w:top w:w="70" w:type="dxa"/>
              <w:bottom w:w="70" w:type="dxa"/>
              <w:left w:w="90" w:type="dxa"/>
              <w:right w:w="90" w:type="dxa"/>
            </w:tcMar>
          </w:tcPr>
          <w:p>
            <w:pPr>
              <w:jc w:val="left"/>
            </w:pPr>
            <w:r>
              <w:rPr>
                <w:rFonts w:ascii="Calibri" w:hAnsi="Calibri"/>
                <w:color w:val="1F2937"/>
                <w:sz w:val="18"/>
              </w:rPr>
              <w:t>PaperlessBilling</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FFFFF"/>
            <w:tcMar>
              <w:top w:w="70" w:type="dxa"/>
              <w:bottom w:w="70" w:type="dxa"/>
              <w:left w:w="90" w:type="dxa"/>
              <w:right w:w="90" w:type="dxa"/>
            </w:tcMar>
          </w:tcPr>
          <w:p>
            <w:pPr>
              <w:jc w:val="center"/>
            </w:pPr>
            <w:r>
              <w:rPr>
                <w:rFonts w:ascii="Calibri" w:hAnsi="Calibri"/>
                <w:color w:val="1F2937"/>
                <w:sz w:val="18"/>
              </w:rPr>
              <w:t>Whether customer receives digital statements (Yes / No)</w:t>
            </w:r>
          </w:p>
        </w:tc>
      </w:tr>
      <w:tr>
        <w:tc>
          <w:tcPr>
            <w:tcW w:type="dxa" w:w="2304"/>
            <w:shd w:fill="F8FAFC"/>
            <w:tcMar>
              <w:top w:w="70" w:type="dxa"/>
              <w:bottom w:w="70" w:type="dxa"/>
              <w:left w:w="90" w:type="dxa"/>
              <w:right w:w="90" w:type="dxa"/>
            </w:tcMar>
          </w:tcPr>
          <w:p>
            <w:pPr>
              <w:jc w:val="left"/>
            </w:pPr>
            <w:r>
              <w:rPr>
                <w:rFonts w:ascii="Calibri" w:hAnsi="Calibri"/>
                <w:color w:val="1F2937"/>
                <w:sz w:val="18"/>
              </w:rPr>
              <w:t>PaymentMethod</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(4 levels)</w:t>
            </w:r>
          </w:p>
        </w:tc>
        <w:tc>
          <w:tcPr>
            <w:tcW w:type="dxa" w:w="4896"/>
            <w:shd w:fill="F8FAFC"/>
            <w:tcMar>
              <w:top w:w="70" w:type="dxa"/>
              <w:bottom w:w="70" w:type="dxa"/>
              <w:left w:w="90" w:type="dxa"/>
              <w:right w:w="90" w:type="dxa"/>
            </w:tcMar>
          </w:tcPr>
          <w:p>
            <w:pPr>
              <w:jc w:val="center"/>
            </w:pPr>
            <w:r>
              <w:rPr>
                <w:rFonts w:ascii="Calibri" w:hAnsi="Calibri"/>
                <w:color w:val="1F2937"/>
                <w:sz w:val="18"/>
              </w:rPr>
              <w:t>Electronic check, Mailed check, Bank transfer, Credit card</w:t>
            </w:r>
          </w:p>
        </w:tc>
      </w:tr>
      <w:tr>
        <w:tc>
          <w:tcPr>
            <w:tcW w:type="dxa" w:w="2304"/>
            <w:shd w:fill="FFFFFF"/>
            <w:tcMar>
              <w:top w:w="70" w:type="dxa"/>
              <w:bottom w:w="70" w:type="dxa"/>
              <w:left w:w="90" w:type="dxa"/>
              <w:right w:w="90" w:type="dxa"/>
            </w:tcMar>
          </w:tcPr>
          <w:p>
            <w:pPr>
              <w:jc w:val="left"/>
            </w:pPr>
            <w:r>
              <w:rPr>
                <w:rFonts w:ascii="Calibri" w:hAnsi="Calibri"/>
                <w:color w:val="1F2937"/>
                <w:sz w:val="18"/>
              </w:rPr>
              <w:t>MonthlyCharges</w:t>
            </w:r>
          </w:p>
        </w:tc>
        <w:tc>
          <w:tcPr>
            <w:tcW w:type="dxa" w:w="2160"/>
            <w:shd w:fill="FFFFFF"/>
            <w:tcMar>
              <w:top w:w="70" w:type="dxa"/>
              <w:bottom w:w="70" w:type="dxa"/>
              <w:left w:w="90" w:type="dxa"/>
              <w:right w:w="90" w:type="dxa"/>
            </w:tcMar>
          </w:tcPr>
          <w:p>
            <w:pPr>
              <w:jc w:val="center"/>
            </w:pPr>
            <w:r>
              <w:rPr>
                <w:rFonts w:ascii="Calibri" w:hAnsi="Calibri"/>
                <w:color w:val="1F2937"/>
                <w:sz w:val="18"/>
              </w:rPr>
              <w:t>Numerical (Float)</w:t>
            </w:r>
          </w:p>
        </w:tc>
        <w:tc>
          <w:tcPr>
            <w:tcW w:type="dxa" w:w="4896"/>
            <w:shd w:fill="FFFFFF"/>
            <w:tcMar>
              <w:top w:w="70" w:type="dxa"/>
              <w:bottom w:w="70" w:type="dxa"/>
              <w:left w:w="90" w:type="dxa"/>
              <w:right w:w="90" w:type="dxa"/>
            </w:tcMar>
          </w:tcPr>
          <w:p>
            <w:pPr>
              <w:jc w:val="center"/>
            </w:pPr>
            <w:r>
              <w:rPr>
                <w:rFonts w:ascii="Calibri" w:hAnsi="Calibri"/>
                <w:color w:val="1F2937"/>
                <w:sz w:val="18"/>
              </w:rPr>
              <w:t>Current monthly subscription charge ($18.25 - $118.75)</w:t>
            </w:r>
          </w:p>
        </w:tc>
      </w:tr>
      <w:tr>
        <w:tc>
          <w:tcPr>
            <w:tcW w:type="dxa" w:w="2304"/>
            <w:shd w:fill="F8FAFC"/>
            <w:tcMar>
              <w:top w:w="70" w:type="dxa"/>
              <w:bottom w:w="70" w:type="dxa"/>
              <w:left w:w="90" w:type="dxa"/>
              <w:right w:w="90" w:type="dxa"/>
            </w:tcMar>
          </w:tcPr>
          <w:p>
            <w:pPr>
              <w:jc w:val="left"/>
            </w:pPr>
            <w:r>
              <w:rPr>
                <w:rFonts w:ascii="Calibri" w:hAnsi="Calibri"/>
                <w:color w:val="1F2937"/>
                <w:sz w:val="18"/>
              </w:rPr>
              <w:t>TotalCharges</w:t>
            </w:r>
          </w:p>
        </w:tc>
        <w:tc>
          <w:tcPr>
            <w:tcW w:type="dxa" w:w="2160"/>
            <w:shd w:fill="F8FAFC"/>
            <w:tcMar>
              <w:top w:w="70" w:type="dxa"/>
              <w:bottom w:w="70" w:type="dxa"/>
              <w:left w:w="90" w:type="dxa"/>
              <w:right w:w="90" w:type="dxa"/>
            </w:tcMar>
          </w:tcPr>
          <w:p>
            <w:pPr>
              <w:jc w:val="center"/>
            </w:pPr>
            <w:r>
              <w:rPr>
                <w:rFonts w:ascii="Calibri" w:hAnsi="Calibri"/>
                <w:color w:val="1F2937"/>
                <w:sz w:val="18"/>
              </w:rPr>
              <w:t>Numerical (Float)</w:t>
            </w:r>
          </w:p>
        </w:tc>
        <w:tc>
          <w:tcPr>
            <w:tcW w:type="dxa" w:w="4896"/>
            <w:shd w:fill="F8FAFC"/>
            <w:tcMar>
              <w:top w:w="70" w:type="dxa"/>
              <w:bottom w:w="70" w:type="dxa"/>
              <w:left w:w="90" w:type="dxa"/>
              <w:right w:w="90" w:type="dxa"/>
            </w:tcMar>
          </w:tcPr>
          <w:p>
            <w:pPr>
              <w:jc w:val="center"/>
            </w:pPr>
            <w:r>
              <w:rPr>
                <w:rFonts w:ascii="Calibri" w:hAnsi="Calibri"/>
                <w:color w:val="1F2937"/>
                <w:sz w:val="18"/>
              </w:rPr>
              <w:t>Total cumulative amount billed to date ($18.80 - $8684.80)</w:t>
            </w:r>
          </w:p>
        </w:tc>
      </w:tr>
      <w:tr>
        <w:tc>
          <w:tcPr>
            <w:tcW w:type="dxa" w:w="2304"/>
            <w:shd w:fill="FFFFFF"/>
            <w:tcMar>
              <w:top w:w="70" w:type="dxa"/>
              <w:bottom w:w="70" w:type="dxa"/>
              <w:left w:w="90" w:type="dxa"/>
              <w:right w:w="90" w:type="dxa"/>
            </w:tcMar>
          </w:tcPr>
          <w:p>
            <w:pPr>
              <w:jc w:val="left"/>
            </w:pPr>
            <w:r>
              <w:rPr>
                <w:rFonts w:ascii="Calibri" w:hAnsi="Calibri"/>
                <w:color w:val="1F2937"/>
                <w:sz w:val="18"/>
              </w:rPr>
              <w:t>Churn (Target)</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FFFFF"/>
            <w:tcMar>
              <w:top w:w="70" w:type="dxa"/>
              <w:bottom w:w="70" w:type="dxa"/>
              <w:left w:w="90" w:type="dxa"/>
              <w:right w:w="90" w:type="dxa"/>
            </w:tcMar>
          </w:tcPr>
          <w:p>
            <w:pPr>
              <w:jc w:val="center"/>
            </w:pPr>
            <w:r>
              <w:rPr>
                <w:rFonts w:ascii="Calibri" w:hAnsi="Calibri"/>
                <w:color w:val="1F2937"/>
                <w:sz w:val="18"/>
              </w:rPr>
              <w:t>Ground truth label: whether subscriber churned (Yes = 1, No = 0)</w:t>
            </w:r>
          </w:p>
        </w:tc>
      </w:tr>
    </w:tbl>
    <w:p>
      <w:r>
        <w:br w:type="page"/>
      </w:r>
    </w:p>
    <w:p>
      <w:pPr>
        <w:pStyle w:val="Heading1"/>
        <w:keepNext/>
        <w:spacing w:before="280" w:after="80"/>
      </w:pPr>
      <w:r>
        <w:rPr>
          <w:rFonts w:ascii="Calibri" w:hAnsi="Calibri"/>
          <w:b/>
          <w:color w:val="1E3A8A"/>
          <w:sz w:val="34"/>
        </w:rPr>
        <w:t>7. Data Preprocessing</w:t>
      </w:r>
    </w:p>
    <w:p>
      <w:pPr>
        <w:spacing w:after="80" w:line="276" w:lineRule="auto"/>
      </w:pPr>
      <w:r>
        <w:rPr>
          <w:rFonts w:ascii="Calibri" w:hAnsi="Calibri"/>
          <w:color w:val="374151"/>
          <w:sz w:val="22"/>
        </w:rPr>
        <w:t>Data preprocessing ensures raw tabular telemetry is transformed into clean, mathematically robust feature matrices suitable for machine learning algorithms. The following six preprocessing stages were executed:</w:t>
      </w:r>
    </w:p>
    <w:p>
      <w:pPr>
        <w:pStyle w:val="ListBullet"/>
        <w:spacing w:after="60" w:line="276" w:lineRule="auto"/>
      </w:pPr>
      <w:r>
        <w:rPr>
          <w:rFonts w:ascii="Calibri" w:hAnsi="Calibri"/>
          <w:b/>
          <w:color w:val="1F2937"/>
          <w:sz w:val="22"/>
        </w:rPr>
        <w:t xml:space="preserve">1. Handling Missing Values: </w:t>
      </w:r>
      <w:r>
        <w:rPr>
          <w:rFonts w:ascii="Calibri" w:hAnsi="Calibri"/>
          <w:color w:val="374151"/>
          <w:sz w:val="22"/>
        </w:rPr>
        <w:t>The TotalCharges column contained 11 whitespace strings (' ') corresponding to brand new customers with tenure = 0 months. These were converted to numeric floating-point format and imputed to $0.00 to prevent data leakage or row loss.</w:t>
      </w:r>
    </w:p>
    <w:p>
      <w:pPr>
        <w:pStyle w:val="ListBullet"/>
        <w:spacing w:after="60" w:line="276" w:lineRule="auto"/>
      </w:pPr>
      <w:r>
        <w:rPr>
          <w:rFonts w:ascii="Calibri" w:hAnsi="Calibri"/>
          <w:b/>
          <w:color w:val="1F2937"/>
          <w:sz w:val="22"/>
        </w:rPr>
        <w:t xml:space="preserve">2. Removing Duplicates: </w:t>
      </w:r>
      <w:r>
        <w:rPr>
          <w:rFonts w:ascii="Calibri" w:hAnsi="Calibri"/>
          <w:color w:val="374151"/>
          <w:sz w:val="22"/>
        </w:rPr>
        <w:t>The entire dataset was checked for duplicate entries across all 21 columns. Zero duplicate rows were identified, confirming all 7,043 customer accounts are distinct.</w:t>
      </w:r>
    </w:p>
    <w:p>
      <w:pPr>
        <w:pStyle w:val="ListBullet"/>
        <w:spacing w:after="60" w:line="276" w:lineRule="auto"/>
      </w:pPr>
      <w:r>
        <w:rPr>
          <w:rFonts w:ascii="Calibri" w:hAnsi="Calibri"/>
          <w:b/>
          <w:color w:val="1F2937"/>
          <w:sz w:val="22"/>
        </w:rPr>
        <w:t xml:space="preserve">3. Handling Outliers: </w:t>
      </w:r>
      <w:r>
        <w:rPr>
          <w:rFonts w:ascii="Calibri" w:hAnsi="Calibri"/>
          <w:color w:val="374151"/>
          <w:sz w:val="22"/>
        </w:rPr>
        <w:t>Interquartile Range (IQR) audits were performed on continuous numerical variables (tenure, MonthlyCharges, TotalCharges). All values fell within legitimate telecom billing parameters with no unphysical anomalies or invalid negative numbers.</w:t>
      </w:r>
    </w:p>
    <w:p>
      <w:pPr>
        <w:pStyle w:val="ListBullet"/>
        <w:spacing w:after="60" w:line="276" w:lineRule="auto"/>
      </w:pPr>
      <w:r>
        <w:rPr>
          <w:rFonts w:ascii="Calibri" w:hAnsi="Calibri"/>
          <w:b/>
          <w:color w:val="1F2937"/>
          <w:sz w:val="22"/>
        </w:rPr>
        <w:t xml:space="preserve">4. Data Encoding: </w:t>
      </w:r>
      <w:r>
        <w:rPr>
          <w:rFonts w:ascii="Calibri" w:hAnsi="Calibri"/>
          <w:color w:val="374151"/>
          <w:sz w:val="22"/>
        </w:rPr>
        <w:t>Categorical variables (16 features) were converted to numerical representations using OneHotEncoder with drop='first' dummy encoding, producing 41 distinct binary indicator columns to eliminate multicollinear dummy traps.</w:t>
      </w:r>
    </w:p>
    <w:p>
      <w:pPr>
        <w:pStyle w:val="ListBullet"/>
        <w:spacing w:after="60" w:line="276" w:lineRule="auto"/>
      </w:pPr>
      <w:r>
        <w:rPr>
          <w:rFonts w:ascii="Calibri" w:hAnsi="Calibri"/>
          <w:b/>
          <w:color w:val="1F2937"/>
          <w:sz w:val="22"/>
        </w:rPr>
        <w:t xml:space="preserve">5. Feature Scaling: </w:t>
      </w:r>
      <w:r>
        <w:rPr>
          <w:rFonts w:ascii="Calibri" w:hAnsi="Calibri"/>
          <w:color w:val="374151"/>
          <w:sz w:val="22"/>
        </w:rPr>
        <w:t>Continuous numerical features and encoded variables were normalized using StandardScaler to transform features to zero mean (μ = 0) and unit variance (σ² = 1), ensuring scale-invariant gradient convergence.</w:t>
      </w:r>
    </w:p>
    <w:p>
      <w:pPr>
        <w:pStyle w:val="ListBullet"/>
        <w:spacing w:after="60" w:line="276" w:lineRule="auto"/>
      </w:pPr>
      <w:r>
        <w:rPr>
          <w:rFonts w:ascii="Calibri" w:hAnsi="Calibri"/>
          <w:b/>
          <w:color w:val="1F2937"/>
          <w:sz w:val="22"/>
        </w:rPr>
        <w:t xml:space="preserve">6. Train/Test Split: </w:t>
      </w:r>
      <w:r>
        <w:rPr>
          <w:rFonts w:ascii="Calibri" w:hAnsi="Calibri"/>
          <w:color w:val="374151"/>
          <w:sz w:val="22"/>
        </w:rPr>
        <w:t>The cleaned dataset was partitioned into 80% Training (5,634 samples) and 20% Testing (1,409 samples) using stratified sampling on the Churn target variable to preserve the 73.5% vs. 26.5% class distribution across both sets.</w:t>
      </w:r>
    </w:p>
    <w:p>
      <w:pPr>
        <w:pStyle w:val="Heading1"/>
        <w:keepNext/>
        <w:spacing w:before="280" w:after="80"/>
      </w:pPr>
      <w:r>
        <w:rPr>
          <w:rFonts w:ascii="Calibri" w:hAnsi="Calibri"/>
          <w:b/>
          <w:color w:val="1E3A8A"/>
          <w:sz w:val="34"/>
        </w:rPr>
        <w:t>8. AI/ML Model Selection</w:t>
      </w:r>
    </w:p>
    <w:p>
      <w:pPr>
        <w:spacing w:after="80" w:line="276" w:lineRule="auto"/>
      </w:pPr>
      <w:r>
        <w:rPr>
          <w:rFonts w:ascii="Calibri" w:hAnsi="Calibri"/>
          <w:color w:val="374151"/>
          <w:sz w:val="22"/>
        </w:rPr>
        <w:t>Five candidate supervised classification algorithms were implemented, tuned, and evaluated on the standardized Telco Churn test set:</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160"/>
            <w:shd w:fill="1E3A8A"/>
            <w:tcMar>
              <w:top w:w="100" w:type="dxa"/>
              <w:bottom w:w="100" w:type="dxa"/>
              <w:left w:w="100" w:type="dxa"/>
              <w:right w:w="100" w:type="dxa"/>
            </w:tcMar>
          </w:tcPr>
          <w:p>
            <w:pPr>
              <w:jc w:val="center"/>
            </w:pPr>
            <w:r>
              <w:rPr>
                <w:rFonts w:ascii="Calibri" w:hAnsi="Calibri"/>
                <w:b/>
                <w:color w:val="FFFFFF"/>
                <w:sz w:val="19"/>
              </w:rPr>
              <w:t>Model</w:t>
            </w:r>
          </w:p>
        </w:tc>
        <w:tc>
          <w:tcPr>
            <w:tcW w:type="dxa" w:w="1008"/>
            <w:shd w:fill="1E3A8A"/>
            <w:tcMar>
              <w:top w:w="100" w:type="dxa"/>
              <w:bottom w:w="100" w:type="dxa"/>
              <w:left w:w="100" w:type="dxa"/>
              <w:right w:w="100" w:type="dxa"/>
            </w:tcMar>
          </w:tcPr>
          <w:p>
            <w:pPr>
              <w:jc w:val="center"/>
            </w:pPr>
            <w:r>
              <w:rPr>
                <w:rFonts w:ascii="Calibri" w:hAnsi="Calibri"/>
                <w:b/>
                <w:color w:val="FFFFFF"/>
                <w:sz w:val="19"/>
              </w:rPr>
              <w:t>Accuracy</w:t>
            </w:r>
          </w:p>
        </w:tc>
        <w:tc>
          <w:tcPr>
            <w:tcW w:type="dxa" w:w="1008"/>
            <w:shd w:fill="1E3A8A"/>
            <w:tcMar>
              <w:top w:w="100" w:type="dxa"/>
              <w:bottom w:w="100" w:type="dxa"/>
              <w:left w:w="100" w:type="dxa"/>
              <w:right w:w="100" w:type="dxa"/>
            </w:tcMar>
          </w:tcPr>
          <w:p>
            <w:pPr>
              <w:jc w:val="center"/>
            </w:pPr>
            <w:r>
              <w:rPr>
                <w:rFonts w:ascii="Calibri" w:hAnsi="Calibri"/>
                <w:b/>
                <w:color w:val="FFFFFF"/>
                <w:sz w:val="19"/>
              </w:rPr>
              <w:t>Precision</w:t>
            </w:r>
          </w:p>
        </w:tc>
        <w:tc>
          <w:tcPr>
            <w:tcW w:type="dxa" w:w="1008"/>
            <w:shd w:fill="1E3A8A"/>
            <w:tcMar>
              <w:top w:w="100" w:type="dxa"/>
              <w:bottom w:w="100" w:type="dxa"/>
              <w:left w:w="100" w:type="dxa"/>
              <w:right w:w="100" w:type="dxa"/>
            </w:tcMar>
          </w:tcPr>
          <w:p>
            <w:pPr>
              <w:jc w:val="center"/>
            </w:pPr>
            <w:r>
              <w:rPr>
                <w:rFonts w:ascii="Calibri" w:hAnsi="Calibri"/>
                <w:b/>
                <w:color w:val="FFFFFF"/>
                <w:sz w:val="19"/>
              </w:rPr>
              <w:t>Recall</w:t>
            </w:r>
          </w:p>
        </w:tc>
        <w:tc>
          <w:tcPr>
            <w:tcW w:type="dxa" w:w="1008"/>
            <w:shd w:fill="1E3A8A"/>
            <w:tcMar>
              <w:top w:w="100" w:type="dxa"/>
              <w:bottom w:w="100" w:type="dxa"/>
              <w:left w:w="100" w:type="dxa"/>
              <w:right w:w="100" w:type="dxa"/>
            </w:tcMar>
          </w:tcPr>
          <w:p>
            <w:pPr>
              <w:jc w:val="center"/>
            </w:pPr>
            <w:r>
              <w:rPr>
                <w:rFonts w:ascii="Calibri" w:hAnsi="Calibri"/>
                <w:b/>
                <w:color w:val="FFFFFF"/>
                <w:sz w:val="19"/>
              </w:rPr>
              <w:t>F1</w:t>
            </w:r>
          </w:p>
        </w:tc>
        <w:tc>
          <w:tcPr>
            <w:tcW w:type="dxa" w:w="1008"/>
            <w:shd w:fill="1E3A8A"/>
            <w:tcMar>
              <w:top w:w="100" w:type="dxa"/>
              <w:bottom w:w="100" w:type="dxa"/>
              <w:left w:w="100" w:type="dxa"/>
              <w:right w:w="100" w:type="dxa"/>
            </w:tcMar>
          </w:tcPr>
          <w:p>
            <w:pPr>
              <w:jc w:val="center"/>
            </w:pPr>
            <w:r>
              <w:rPr>
                <w:rFonts w:ascii="Calibri" w:hAnsi="Calibri"/>
                <w:b/>
                <w:color w:val="FFFFFF"/>
                <w:sz w:val="19"/>
              </w:rPr>
              <w:t>AUC</w:t>
            </w:r>
          </w:p>
        </w:tc>
        <w:tc>
          <w:tcPr>
            <w:tcW w:type="dxa" w:w="1728"/>
            <w:shd w:fill="1E3A8A"/>
            <w:tcMar>
              <w:top w:w="100" w:type="dxa"/>
              <w:bottom w:w="100" w:type="dxa"/>
              <w:left w:w="100" w:type="dxa"/>
              <w:right w:w="100" w:type="dxa"/>
            </w:tcMar>
          </w:tcPr>
          <w:p>
            <w:pPr>
              <w:jc w:val="center"/>
            </w:pPr>
            <w:r>
              <w:rPr>
                <w:rFonts w:ascii="Calibri" w:hAnsi="Calibri"/>
                <w:b/>
                <w:color w:val="FFFFFF"/>
                <w:sz w:val="19"/>
              </w:rPr>
              <w:t>Interpretability</w:t>
            </w:r>
          </w:p>
        </w:tc>
        <w:tc>
          <w:tcPr>
            <w:tcW w:type="dxa" w:w="1008"/>
            <w:shd w:fill="1E3A8A"/>
            <w:tcMar>
              <w:top w:w="100" w:type="dxa"/>
              <w:bottom w:w="100" w:type="dxa"/>
              <w:left w:w="100" w:type="dxa"/>
              <w:right w:w="100" w:type="dxa"/>
            </w:tcMar>
          </w:tcPr>
          <w:p>
            <w:pPr>
              <w:jc w:val="center"/>
            </w:pPr>
            <w:r>
              <w:rPr>
                <w:rFonts w:ascii="Calibri" w:hAnsi="Calibri"/>
                <w:b/>
                <w:color w:val="FFFFFF"/>
                <w:sz w:val="19"/>
              </w:rPr>
              <w:t>Latency</w:t>
            </w:r>
          </w:p>
        </w:tc>
      </w:tr>
      <w:tr>
        <w:tc>
          <w:tcPr>
            <w:tcW w:type="dxa" w:w="2160"/>
            <w:shd w:fill="FFFFFF"/>
            <w:tcMar>
              <w:top w:w="70" w:type="dxa"/>
              <w:bottom w:w="70" w:type="dxa"/>
              <w:left w:w="90" w:type="dxa"/>
              <w:right w:w="90" w:type="dxa"/>
            </w:tcMar>
          </w:tcPr>
          <w:p>
            <w:pPr>
              <w:jc w:val="left"/>
            </w:pPr>
            <w:r>
              <w:rPr>
                <w:rFonts w:ascii="Calibri" w:hAnsi="Calibri"/>
                <w:color w:val="1F2937"/>
                <w:sz w:val="18"/>
              </w:rPr>
              <w:t>Logistic Regression (Selected)</w:t>
            </w:r>
          </w:p>
        </w:tc>
        <w:tc>
          <w:tcPr>
            <w:tcW w:type="dxa" w:w="1008"/>
            <w:shd w:fill="FFFFFF"/>
            <w:tcMar>
              <w:top w:w="70" w:type="dxa"/>
              <w:bottom w:w="70" w:type="dxa"/>
              <w:left w:w="90" w:type="dxa"/>
              <w:right w:w="90" w:type="dxa"/>
            </w:tcMar>
          </w:tcPr>
          <w:p>
            <w:pPr>
              <w:jc w:val="center"/>
            </w:pPr>
            <w:r>
              <w:rPr>
                <w:rFonts w:ascii="Calibri" w:hAnsi="Calibri"/>
                <w:color w:val="1F2937"/>
                <w:sz w:val="18"/>
              </w:rPr>
              <w:t>80.48%</w:t>
            </w:r>
          </w:p>
        </w:tc>
        <w:tc>
          <w:tcPr>
            <w:tcW w:type="dxa" w:w="1008"/>
            <w:shd w:fill="FFFFFF"/>
            <w:tcMar>
              <w:top w:w="70" w:type="dxa"/>
              <w:bottom w:w="70" w:type="dxa"/>
              <w:left w:w="90" w:type="dxa"/>
              <w:right w:w="90" w:type="dxa"/>
            </w:tcMar>
          </w:tcPr>
          <w:p>
            <w:pPr>
              <w:jc w:val="center"/>
            </w:pPr>
            <w:r>
              <w:rPr>
                <w:rFonts w:ascii="Calibri" w:hAnsi="Calibri"/>
                <w:color w:val="1F2937"/>
                <w:sz w:val="18"/>
              </w:rPr>
              <w:t>65.2%</w:t>
            </w:r>
          </w:p>
        </w:tc>
        <w:tc>
          <w:tcPr>
            <w:tcW w:type="dxa" w:w="1008"/>
            <w:shd w:fill="FFFFFF"/>
            <w:tcMar>
              <w:top w:w="70" w:type="dxa"/>
              <w:bottom w:w="70" w:type="dxa"/>
              <w:left w:w="90" w:type="dxa"/>
              <w:right w:w="90" w:type="dxa"/>
            </w:tcMar>
          </w:tcPr>
          <w:p>
            <w:pPr>
              <w:jc w:val="center"/>
            </w:pPr>
            <w:r>
              <w:rPr>
                <w:rFonts w:ascii="Calibri" w:hAnsi="Calibri"/>
                <w:color w:val="1F2937"/>
                <w:sz w:val="18"/>
              </w:rPr>
              <w:t>55.8%</w:t>
            </w:r>
          </w:p>
        </w:tc>
        <w:tc>
          <w:tcPr>
            <w:tcW w:type="dxa" w:w="1008"/>
            <w:shd w:fill="FFFFFF"/>
            <w:tcMar>
              <w:top w:w="70" w:type="dxa"/>
              <w:bottom w:w="70" w:type="dxa"/>
              <w:left w:w="90" w:type="dxa"/>
              <w:right w:w="90" w:type="dxa"/>
            </w:tcMar>
          </w:tcPr>
          <w:p>
            <w:pPr>
              <w:jc w:val="center"/>
            </w:pPr>
            <w:r>
              <w:rPr>
                <w:rFonts w:ascii="Calibri" w:hAnsi="Calibri"/>
                <w:color w:val="1F2937"/>
                <w:sz w:val="18"/>
              </w:rPr>
              <w:t>0.601</w:t>
            </w:r>
          </w:p>
        </w:tc>
        <w:tc>
          <w:tcPr>
            <w:tcW w:type="dxa" w:w="1008"/>
            <w:shd w:fill="FFFFFF"/>
            <w:tcMar>
              <w:top w:w="70" w:type="dxa"/>
              <w:bottom w:w="70" w:type="dxa"/>
              <w:left w:w="90" w:type="dxa"/>
              <w:right w:w="90" w:type="dxa"/>
            </w:tcMar>
          </w:tcPr>
          <w:p>
            <w:pPr>
              <w:jc w:val="center"/>
            </w:pPr>
            <w:r>
              <w:rPr>
                <w:rFonts w:ascii="Calibri" w:hAnsi="Calibri"/>
                <w:color w:val="1F2937"/>
                <w:sz w:val="18"/>
              </w:rPr>
              <w:t>0.845</w:t>
            </w:r>
          </w:p>
        </w:tc>
        <w:tc>
          <w:tcPr>
            <w:tcW w:type="dxa" w:w="1728"/>
            <w:shd w:fill="FFFFFF"/>
            <w:tcMar>
              <w:top w:w="70" w:type="dxa"/>
              <w:bottom w:w="70" w:type="dxa"/>
              <w:left w:w="90" w:type="dxa"/>
              <w:right w:w="90" w:type="dxa"/>
            </w:tcMar>
          </w:tcPr>
          <w:p>
            <w:pPr>
              <w:jc w:val="center"/>
            </w:pPr>
            <w:r>
              <w:rPr>
                <w:rFonts w:ascii="Calibri" w:hAnsi="Calibri"/>
                <w:color w:val="1F2937"/>
                <w:sz w:val="18"/>
              </w:rPr>
              <w:t>High (Direct Log-Odds)</w:t>
            </w:r>
          </w:p>
        </w:tc>
        <w:tc>
          <w:tcPr>
            <w:tcW w:type="dxa" w:w="1008"/>
            <w:shd w:fill="FFFFFF"/>
            <w:tcMar>
              <w:top w:w="70" w:type="dxa"/>
              <w:bottom w:w="70" w:type="dxa"/>
              <w:left w:w="90" w:type="dxa"/>
              <w:right w:w="90" w:type="dxa"/>
            </w:tcMar>
          </w:tcPr>
          <w:p>
            <w:pPr>
              <w:jc w:val="center"/>
            </w:pPr>
            <w:r>
              <w:rPr>
                <w:rFonts w:ascii="Calibri" w:hAnsi="Calibri"/>
                <w:color w:val="1F2937"/>
                <w:sz w:val="18"/>
              </w:rPr>
              <w:t>&lt; 5 ms</w:t>
            </w:r>
          </w:p>
        </w:tc>
      </w:tr>
      <w:tr>
        <w:tc>
          <w:tcPr>
            <w:tcW w:type="dxa" w:w="2160"/>
            <w:shd w:fill="F8FAFC"/>
            <w:tcMar>
              <w:top w:w="70" w:type="dxa"/>
              <w:bottom w:w="70" w:type="dxa"/>
              <w:left w:w="90" w:type="dxa"/>
              <w:right w:w="90" w:type="dxa"/>
            </w:tcMar>
          </w:tcPr>
          <w:p>
            <w:pPr>
              <w:jc w:val="left"/>
            </w:pPr>
            <w:r>
              <w:rPr>
                <w:rFonts w:ascii="Calibri" w:hAnsi="Calibri"/>
                <w:color w:val="1F2937"/>
                <w:sz w:val="18"/>
              </w:rPr>
              <w:t>Random Forest Classifier</w:t>
            </w:r>
          </w:p>
        </w:tc>
        <w:tc>
          <w:tcPr>
            <w:tcW w:type="dxa" w:w="1008"/>
            <w:shd w:fill="F8FAFC"/>
            <w:tcMar>
              <w:top w:w="70" w:type="dxa"/>
              <w:bottom w:w="70" w:type="dxa"/>
              <w:left w:w="90" w:type="dxa"/>
              <w:right w:w="90" w:type="dxa"/>
            </w:tcMar>
          </w:tcPr>
          <w:p>
            <w:pPr>
              <w:jc w:val="center"/>
            </w:pPr>
            <w:r>
              <w:rPr>
                <w:rFonts w:ascii="Calibri" w:hAnsi="Calibri"/>
                <w:color w:val="1F2937"/>
                <w:sz w:val="18"/>
              </w:rPr>
              <w:t>79.20%</w:t>
            </w:r>
          </w:p>
        </w:tc>
        <w:tc>
          <w:tcPr>
            <w:tcW w:type="dxa" w:w="1008"/>
            <w:shd w:fill="F8FAFC"/>
            <w:tcMar>
              <w:top w:w="70" w:type="dxa"/>
              <w:bottom w:w="70" w:type="dxa"/>
              <w:left w:w="90" w:type="dxa"/>
              <w:right w:w="90" w:type="dxa"/>
            </w:tcMar>
          </w:tcPr>
          <w:p>
            <w:pPr>
              <w:jc w:val="center"/>
            </w:pPr>
            <w:r>
              <w:rPr>
                <w:rFonts w:ascii="Calibri" w:hAnsi="Calibri"/>
                <w:color w:val="1F2937"/>
                <w:sz w:val="18"/>
              </w:rPr>
              <w:t>62.8%</w:t>
            </w:r>
          </w:p>
        </w:tc>
        <w:tc>
          <w:tcPr>
            <w:tcW w:type="dxa" w:w="1008"/>
            <w:shd w:fill="F8FAFC"/>
            <w:tcMar>
              <w:top w:w="70" w:type="dxa"/>
              <w:bottom w:w="70" w:type="dxa"/>
              <w:left w:w="90" w:type="dxa"/>
              <w:right w:w="90" w:type="dxa"/>
            </w:tcMar>
          </w:tcPr>
          <w:p>
            <w:pPr>
              <w:jc w:val="center"/>
            </w:pPr>
            <w:r>
              <w:rPr>
                <w:rFonts w:ascii="Calibri" w:hAnsi="Calibri"/>
                <w:color w:val="1F2937"/>
                <w:sz w:val="18"/>
              </w:rPr>
              <w:t>49.4%</w:t>
            </w:r>
          </w:p>
        </w:tc>
        <w:tc>
          <w:tcPr>
            <w:tcW w:type="dxa" w:w="1008"/>
            <w:shd w:fill="F8FAFC"/>
            <w:tcMar>
              <w:top w:w="70" w:type="dxa"/>
              <w:bottom w:w="70" w:type="dxa"/>
              <w:left w:w="90" w:type="dxa"/>
              <w:right w:w="90" w:type="dxa"/>
            </w:tcMar>
          </w:tcPr>
          <w:p>
            <w:pPr>
              <w:jc w:val="center"/>
            </w:pPr>
            <w:r>
              <w:rPr>
                <w:rFonts w:ascii="Calibri" w:hAnsi="Calibri"/>
                <w:color w:val="1F2937"/>
                <w:sz w:val="18"/>
              </w:rPr>
              <w:t>0.553</w:t>
            </w:r>
          </w:p>
        </w:tc>
        <w:tc>
          <w:tcPr>
            <w:tcW w:type="dxa" w:w="1008"/>
            <w:shd w:fill="F8FAFC"/>
            <w:tcMar>
              <w:top w:w="70" w:type="dxa"/>
              <w:bottom w:w="70" w:type="dxa"/>
              <w:left w:w="90" w:type="dxa"/>
              <w:right w:w="90" w:type="dxa"/>
            </w:tcMar>
          </w:tcPr>
          <w:p>
            <w:pPr>
              <w:jc w:val="center"/>
            </w:pPr>
            <w:r>
              <w:rPr>
                <w:rFonts w:ascii="Calibri" w:hAnsi="Calibri"/>
                <w:color w:val="1F2937"/>
                <w:sz w:val="18"/>
              </w:rPr>
              <w:t>0.828</w:t>
            </w:r>
          </w:p>
        </w:tc>
        <w:tc>
          <w:tcPr>
            <w:tcW w:type="dxa" w:w="1728"/>
            <w:shd w:fill="F8FAFC"/>
            <w:tcMar>
              <w:top w:w="70" w:type="dxa"/>
              <w:bottom w:w="70" w:type="dxa"/>
              <w:left w:w="90" w:type="dxa"/>
              <w:right w:w="90" w:type="dxa"/>
            </w:tcMar>
          </w:tcPr>
          <w:p>
            <w:pPr>
              <w:jc w:val="center"/>
            </w:pPr>
            <w:r>
              <w:rPr>
                <w:rFonts w:ascii="Calibri" w:hAnsi="Calibri"/>
                <w:color w:val="1F2937"/>
                <w:sz w:val="18"/>
              </w:rPr>
              <w:t>Moderate (Tree Ensemble)</w:t>
            </w:r>
          </w:p>
        </w:tc>
        <w:tc>
          <w:tcPr>
            <w:tcW w:type="dxa" w:w="1008"/>
            <w:shd w:fill="F8FAFC"/>
            <w:tcMar>
              <w:top w:w="70" w:type="dxa"/>
              <w:bottom w:w="70" w:type="dxa"/>
              <w:left w:w="90" w:type="dxa"/>
              <w:right w:w="90" w:type="dxa"/>
            </w:tcMar>
          </w:tcPr>
          <w:p>
            <w:pPr>
              <w:jc w:val="center"/>
            </w:pPr>
            <w:r>
              <w:rPr>
                <w:rFonts w:ascii="Calibri" w:hAnsi="Calibri"/>
                <w:color w:val="1F2937"/>
                <w:sz w:val="18"/>
              </w:rPr>
              <w:t>35 ms</w:t>
            </w:r>
          </w:p>
        </w:tc>
      </w:tr>
      <w:tr>
        <w:tc>
          <w:tcPr>
            <w:tcW w:type="dxa" w:w="2160"/>
            <w:shd w:fill="FFFFFF"/>
            <w:tcMar>
              <w:top w:w="70" w:type="dxa"/>
              <w:bottom w:w="70" w:type="dxa"/>
              <w:left w:w="90" w:type="dxa"/>
              <w:right w:w="90" w:type="dxa"/>
            </w:tcMar>
          </w:tcPr>
          <w:p>
            <w:pPr>
              <w:jc w:val="left"/>
            </w:pPr>
            <w:r>
              <w:rPr>
                <w:rFonts w:ascii="Calibri" w:hAnsi="Calibri"/>
                <w:color w:val="1F2937"/>
                <w:sz w:val="18"/>
              </w:rPr>
              <w:t>Decision Tree Classifier</w:t>
            </w:r>
          </w:p>
        </w:tc>
        <w:tc>
          <w:tcPr>
            <w:tcW w:type="dxa" w:w="1008"/>
            <w:shd w:fill="FFFFFF"/>
            <w:tcMar>
              <w:top w:w="70" w:type="dxa"/>
              <w:bottom w:w="70" w:type="dxa"/>
              <w:left w:w="90" w:type="dxa"/>
              <w:right w:w="90" w:type="dxa"/>
            </w:tcMar>
          </w:tcPr>
          <w:p>
            <w:pPr>
              <w:jc w:val="center"/>
            </w:pPr>
            <w:r>
              <w:rPr>
                <w:rFonts w:ascii="Calibri" w:hAnsi="Calibri"/>
                <w:color w:val="1F2937"/>
                <w:sz w:val="18"/>
              </w:rPr>
              <w:t>72.82%</w:t>
            </w:r>
          </w:p>
        </w:tc>
        <w:tc>
          <w:tcPr>
            <w:tcW w:type="dxa" w:w="1008"/>
            <w:shd w:fill="FFFFFF"/>
            <w:tcMar>
              <w:top w:w="70" w:type="dxa"/>
              <w:bottom w:w="70" w:type="dxa"/>
              <w:left w:w="90" w:type="dxa"/>
              <w:right w:w="90" w:type="dxa"/>
            </w:tcMar>
          </w:tcPr>
          <w:p>
            <w:pPr>
              <w:jc w:val="center"/>
            </w:pPr>
            <w:r>
              <w:rPr>
                <w:rFonts w:ascii="Calibri" w:hAnsi="Calibri"/>
                <w:color w:val="1F2937"/>
                <w:sz w:val="18"/>
              </w:rPr>
              <w:t>48.9%</w:t>
            </w:r>
          </w:p>
        </w:tc>
        <w:tc>
          <w:tcPr>
            <w:tcW w:type="dxa" w:w="1008"/>
            <w:shd w:fill="FFFFFF"/>
            <w:tcMar>
              <w:top w:w="70" w:type="dxa"/>
              <w:bottom w:w="70" w:type="dxa"/>
              <w:left w:w="90" w:type="dxa"/>
              <w:right w:w="90" w:type="dxa"/>
            </w:tcMar>
          </w:tcPr>
          <w:p>
            <w:pPr>
              <w:jc w:val="center"/>
            </w:pPr>
            <w:r>
              <w:rPr>
                <w:rFonts w:ascii="Calibri" w:hAnsi="Calibri"/>
                <w:color w:val="1F2937"/>
                <w:sz w:val="18"/>
              </w:rPr>
              <w:t>50.5%</w:t>
            </w:r>
          </w:p>
        </w:tc>
        <w:tc>
          <w:tcPr>
            <w:tcW w:type="dxa" w:w="1008"/>
            <w:shd w:fill="FFFFFF"/>
            <w:tcMar>
              <w:top w:w="70" w:type="dxa"/>
              <w:bottom w:w="70" w:type="dxa"/>
              <w:left w:w="90" w:type="dxa"/>
              <w:right w:w="90" w:type="dxa"/>
            </w:tcMar>
          </w:tcPr>
          <w:p>
            <w:pPr>
              <w:jc w:val="center"/>
            </w:pPr>
            <w:r>
              <w:rPr>
                <w:rFonts w:ascii="Calibri" w:hAnsi="Calibri"/>
                <w:color w:val="1F2937"/>
                <w:sz w:val="18"/>
              </w:rPr>
              <w:t>0.497</w:t>
            </w:r>
          </w:p>
        </w:tc>
        <w:tc>
          <w:tcPr>
            <w:tcW w:type="dxa" w:w="1008"/>
            <w:shd w:fill="FFFFFF"/>
            <w:tcMar>
              <w:top w:w="70" w:type="dxa"/>
              <w:bottom w:w="70" w:type="dxa"/>
              <w:left w:w="90" w:type="dxa"/>
              <w:right w:w="90" w:type="dxa"/>
            </w:tcMar>
          </w:tcPr>
          <w:p>
            <w:pPr>
              <w:jc w:val="center"/>
            </w:pPr>
            <w:r>
              <w:rPr>
                <w:rFonts w:ascii="Calibri" w:hAnsi="Calibri"/>
                <w:color w:val="1F2937"/>
                <w:sz w:val="18"/>
              </w:rPr>
              <w:t>0.657</w:t>
            </w:r>
          </w:p>
        </w:tc>
        <w:tc>
          <w:tcPr>
            <w:tcW w:type="dxa" w:w="1728"/>
            <w:shd w:fill="FFFFFF"/>
            <w:tcMar>
              <w:top w:w="70" w:type="dxa"/>
              <w:bottom w:w="70" w:type="dxa"/>
              <w:left w:w="90" w:type="dxa"/>
              <w:right w:w="90" w:type="dxa"/>
            </w:tcMar>
          </w:tcPr>
          <w:p>
            <w:pPr>
              <w:jc w:val="center"/>
            </w:pPr>
            <w:r>
              <w:rPr>
                <w:rFonts w:ascii="Calibri" w:hAnsi="Calibri"/>
                <w:color w:val="1F2937"/>
                <w:sz w:val="18"/>
              </w:rPr>
              <w:t>High (Single Tree)</w:t>
            </w:r>
          </w:p>
        </w:tc>
        <w:tc>
          <w:tcPr>
            <w:tcW w:type="dxa" w:w="1008"/>
            <w:shd w:fill="FFFFFF"/>
            <w:tcMar>
              <w:top w:w="70" w:type="dxa"/>
              <w:bottom w:w="70" w:type="dxa"/>
              <w:left w:w="90" w:type="dxa"/>
              <w:right w:w="90" w:type="dxa"/>
            </w:tcMar>
          </w:tcPr>
          <w:p>
            <w:pPr>
              <w:jc w:val="center"/>
            </w:pPr>
            <w:r>
              <w:rPr>
                <w:rFonts w:ascii="Calibri" w:hAnsi="Calibri"/>
                <w:color w:val="1F2937"/>
                <w:sz w:val="18"/>
              </w:rPr>
              <w:t>&lt; 5 ms</w:t>
            </w:r>
          </w:p>
        </w:tc>
      </w:tr>
      <w:tr>
        <w:tc>
          <w:tcPr>
            <w:tcW w:type="dxa" w:w="2160"/>
            <w:shd w:fill="F8FAFC"/>
            <w:tcMar>
              <w:top w:w="70" w:type="dxa"/>
              <w:bottom w:w="70" w:type="dxa"/>
              <w:left w:w="90" w:type="dxa"/>
              <w:right w:w="90" w:type="dxa"/>
            </w:tcMar>
          </w:tcPr>
          <w:p>
            <w:pPr>
              <w:jc w:val="left"/>
            </w:pPr>
            <w:r>
              <w:rPr>
                <w:rFonts w:ascii="Calibri" w:hAnsi="Calibri"/>
                <w:color w:val="1F2937"/>
                <w:sz w:val="18"/>
              </w:rPr>
              <w:t>Support Vector Machine (RBF)</w:t>
            </w:r>
          </w:p>
        </w:tc>
        <w:tc>
          <w:tcPr>
            <w:tcW w:type="dxa" w:w="1008"/>
            <w:shd w:fill="F8FAFC"/>
            <w:tcMar>
              <w:top w:w="70" w:type="dxa"/>
              <w:bottom w:w="70" w:type="dxa"/>
              <w:left w:w="90" w:type="dxa"/>
              <w:right w:w="90" w:type="dxa"/>
            </w:tcMar>
          </w:tcPr>
          <w:p>
            <w:pPr>
              <w:jc w:val="center"/>
            </w:pPr>
            <w:r>
              <w:rPr>
                <w:rFonts w:ascii="Calibri" w:hAnsi="Calibri"/>
                <w:color w:val="1F2937"/>
                <w:sz w:val="18"/>
              </w:rPr>
              <w:t>79.84%</w:t>
            </w:r>
          </w:p>
        </w:tc>
        <w:tc>
          <w:tcPr>
            <w:tcW w:type="dxa" w:w="1008"/>
            <w:shd w:fill="F8FAFC"/>
            <w:tcMar>
              <w:top w:w="70" w:type="dxa"/>
              <w:bottom w:w="70" w:type="dxa"/>
              <w:left w:w="90" w:type="dxa"/>
              <w:right w:w="90" w:type="dxa"/>
            </w:tcMar>
          </w:tcPr>
          <w:p>
            <w:pPr>
              <w:jc w:val="center"/>
            </w:pPr>
            <w:r>
              <w:rPr>
                <w:rFonts w:ascii="Calibri" w:hAnsi="Calibri"/>
                <w:color w:val="1F2937"/>
                <w:sz w:val="18"/>
              </w:rPr>
              <w:t>64.1%</w:t>
            </w:r>
          </w:p>
        </w:tc>
        <w:tc>
          <w:tcPr>
            <w:tcW w:type="dxa" w:w="1008"/>
            <w:shd w:fill="F8FAFC"/>
            <w:tcMar>
              <w:top w:w="70" w:type="dxa"/>
              <w:bottom w:w="70" w:type="dxa"/>
              <w:left w:w="90" w:type="dxa"/>
              <w:right w:w="90" w:type="dxa"/>
            </w:tcMar>
          </w:tcPr>
          <w:p>
            <w:pPr>
              <w:jc w:val="center"/>
            </w:pPr>
            <w:r>
              <w:rPr>
                <w:rFonts w:ascii="Calibri" w:hAnsi="Calibri"/>
                <w:color w:val="1F2937"/>
                <w:sz w:val="18"/>
              </w:rPr>
              <w:t>51.2%</w:t>
            </w:r>
          </w:p>
        </w:tc>
        <w:tc>
          <w:tcPr>
            <w:tcW w:type="dxa" w:w="1008"/>
            <w:shd w:fill="F8FAFC"/>
            <w:tcMar>
              <w:top w:w="70" w:type="dxa"/>
              <w:bottom w:w="70" w:type="dxa"/>
              <w:left w:w="90" w:type="dxa"/>
              <w:right w:w="90" w:type="dxa"/>
            </w:tcMar>
          </w:tcPr>
          <w:p>
            <w:pPr>
              <w:jc w:val="center"/>
            </w:pPr>
            <w:r>
              <w:rPr>
                <w:rFonts w:ascii="Calibri" w:hAnsi="Calibri"/>
                <w:color w:val="1F2937"/>
                <w:sz w:val="18"/>
              </w:rPr>
              <w:t>0.569</w:t>
            </w:r>
          </w:p>
        </w:tc>
        <w:tc>
          <w:tcPr>
            <w:tcW w:type="dxa" w:w="1008"/>
            <w:shd w:fill="F8FAFC"/>
            <w:tcMar>
              <w:top w:w="70" w:type="dxa"/>
              <w:bottom w:w="70" w:type="dxa"/>
              <w:left w:w="90" w:type="dxa"/>
              <w:right w:w="90" w:type="dxa"/>
            </w:tcMar>
          </w:tcPr>
          <w:p>
            <w:pPr>
              <w:jc w:val="center"/>
            </w:pPr>
            <w:r>
              <w:rPr>
                <w:rFonts w:ascii="Calibri" w:hAnsi="Calibri"/>
                <w:color w:val="1F2937"/>
                <w:sz w:val="18"/>
              </w:rPr>
              <w:t>0.812</w:t>
            </w:r>
          </w:p>
        </w:tc>
        <w:tc>
          <w:tcPr>
            <w:tcW w:type="dxa" w:w="1728"/>
            <w:shd w:fill="F8FAFC"/>
            <w:tcMar>
              <w:top w:w="70" w:type="dxa"/>
              <w:bottom w:w="70" w:type="dxa"/>
              <w:left w:w="90" w:type="dxa"/>
              <w:right w:w="90" w:type="dxa"/>
            </w:tcMar>
          </w:tcPr>
          <w:p>
            <w:pPr>
              <w:jc w:val="center"/>
            </w:pPr>
            <w:r>
              <w:rPr>
                <w:rFonts w:ascii="Calibri" w:hAnsi="Calibri"/>
                <w:color w:val="1F2937"/>
                <w:sz w:val="18"/>
              </w:rPr>
              <w:t>Low (Black Box)</w:t>
            </w:r>
          </w:p>
        </w:tc>
        <w:tc>
          <w:tcPr>
            <w:tcW w:type="dxa" w:w="1008"/>
            <w:shd w:fill="F8FAFC"/>
            <w:tcMar>
              <w:top w:w="70" w:type="dxa"/>
              <w:bottom w:w="70" w:type="dxa"/>
              <w:left w:w="90" w:type="dxa"/>
              <w:right w:w="90" w:type="dxa"/>
            </w:tcMar>
          </w:tcPr>
          <w:p>
            <w:pPr>
              <w:jc w:val="center"/>
            </w:pPr>
            <w:r>
              <w:rPr>
                <w:rFonts w:ascii="Calibri" w:hAnsi="Calibri"/>
                <w:color w:val="1F2937"/>
                <w:sz w:val="18"/>
              </w:rPr>
              <w:t>60 ms</w:t>
            </w:r>
          </w:p>
        </w:tc>
      </w:tr>
      <w:tr>
        <w:tc>
          <w:tcPr>
            <w:tcW w:type="dxa" w:w="2160"/>
            <w:shd w:fill="FFFFFF"/>
            <w:tcMar>
              <w:top w:w="70" w:type="dxa"/>
              <w:bottom w:w="70" w:type="dxa"/>
              <w:left w:w="90" w:type="dxa"/>
              <w:right w:w="90" w:type="dxa"/>
            </w:tcMar>
          </w:tcPr>
          <w:p>
            <w:pPr>
              <w:jc w:val="left"/>
            </w:pPr>
            <w:r>
              <w:rPr>
                <w:rFonts w:ascii="Calibri" w:hAnsi="Calibri"/>
                <w:color w:val="1F2937"/>
                <w:sz w:val="18"/>
              </w:rPr>
              <w:t>K-Nearest Neighbors (KNN)</w:t>
            </w:r>
          </w:p>
        </w:tc>
        <w:tc>
          <w:tcPr>
            <w:tcW w:type="dxa" w:w="1008"/>
            <w:shd w:fill="FFFFFF"/>
            <w:tcMar>
              <w:top w:w="70" w:type="dxa"/>
              <w:bottom w:w="70" w:type="dxa"/>
              <w:left w:w="90" w:type="dxa"/>
              <w:right w:w="90" w:type="dxa"/>
            </w:tcMar>
          </w:tcPr>
          <w:p>
            <w:pPr>
              <w:jc w:val="center"/>
            </w:pPr>
            <w:r>
              <w:rPr>
                <w:rFonts w:ascii="Calibri" w:hAnsi="Calibri"/>
                <w:color w:val="1F2937"/>
                <w:sz w:val="18"/>
              </w:rPr>
              <w:t>76.44%</w:t>
            </w:r>
          </w:p>
        </w:tc>
        <w:tc>
          <w:tcPr>
            <w:tcW w:type="dxa" w:w="1008"/>
            <w:shd w:fill="FFFFFF"/>
            <w:tcMar>
              <w:top w:w="70" w:type="dxa"/>
              <w:bottom w:w="70" w:type="dxa"/>
              <w:left w:w="90" w:type="dxa"/>
              <w:right w:w="90" w:type="dxa"/>
            </w:tcMar>
          </w:tcPr>
          <w:p>
            <w:pPr>
              <w:jc w:val="center"/>
            </w:pPr>
            <w:r>
              <w:rPr>
                <w:rFonts w:ascii="Calibri" w:hAnsi="Calibri"/>
                <w:color w:val="1F2937"/>
                <w:sz w:val="18"/>
              </w:rPr>
              <w:t>55.3%</w:t>
            </w:r>
          </w:p>
        </w:tc>
        <w:tc>
          <w:tcPr>
            <w:tcW w:type="dxa" w:w="1008"/>
            <w:shd w:fill="FFFFFF"/>
            <w:tcMar>
              <w:top w:w="70" w:type="dxa"/>
              <w:bottom w:w="70" w:type="dxa"/>
              <w:left w:w="90" w:type="dxa"/>
              <w:right w:w="90" w:type="dxa"/>
            </w:tcMar>
          </w:tcPr>
          <w:p>
            <w:pPr>
              <w:jc w:val="center"/>
            </w:pPr>
            <w:r>
              <w:rPr>
                <w:rFonts w:ascii="Calibri" w:hAnsi="Calibri"/>
                <w:color w:val="1F2937"/>
                <w:sz w:val="18"/>
              </w:rPr>
              <w:t>52.7%</w:t>
            </w:r>
          </w:p>
        </w:tc>
        <w:tc>
          <w:tcPr>
            <w:tcW w:type="dxa" w:w="1008"/>
            <w:shd w:fill="FFFFFF"/>
            <w:tcMar>
              <w:top w:w="70" w:type="dxa"/>
              <w:bottom w:w="70" w:type="dxa"/>
              <w:left w:w="90" w:type="dxa"/>
              <w:right w:w="90" w:type="dxa"/>
            </w:tcMar>
          </w:tcPr>
          <w:p>
            <w:pPr>
              <w:jc w:val="center"/>
            </w:pPr>
            <w:r>
              <w:rPr>
                <w:rFonts w:ascii="Calibri" w:hAnsi="Calibri"/>
                <w:color w:val="1F2937"/>
                <w:sz w:val="18"/>
              </w:rPr>
              <w:t>0.540</w:t>
            </w:r>
          </w:p>
        </w:tc>
        <w:tc>
          <w:tcPr>
            <w:tcW w:type="dxa" w:w="1008"/>
            <w:shd w:fill="FFFFFF"/>
            <w:tcMar>
              <w:top w:w="70" w:type="dxa"/>
              <w:bottom w:w="70" w:type="dxa"/>
              <w:left w:w="90" w:type="dxa"/>
              <w:right w:w="90" w:type="dxa"/>
            </w:tcMar>
          </w:tcPr>
          <w:p>
            <w:pPr>
              <w:jc w:val="center"/>
            </w:pPr>
            <w:r>
              <w:rPr>
                <w:rFonts w:ascii="Calibri" w:hAnsi="Calibri"/>
                <w:color w:val="1F2937"/>
                <w:sz w:val="18"/>
              </w:rPr>
              <w:t>0.781</w:t>
            </w:r>
          </w:p>
        </w:tc>
        <w:tc>
          <w:tcPr>
            <w:tcW w:type="dxa" w:w="1728"/>
            <w:shd w:fill="FFFFFF"/>
            <w:tcMar>
              <w:top w:w="70" w:type="dxa"/>
              <w:bottom w:w="70" w:type="dxa"/>
              <w:left w:w="90" w:type="dxa"/>
              <w:right w:w="90" w:type="dxa"/>
            </w:tcMar>
          </w:tcPr>
          <w:p>
            <w:pPr>
              <w:jc w:val="center"/>
            </w:pPr>
            <w:r>
              <w:rPr>
                <w:rFonts w:ascii="Calibri" w:hAnsi="Calibri"/>
                <w:color w:val="1F2937"/>
                <w:sz w:val="18"/>
              </w:rPr>
              <w:t>Low (Instance Based)</w:t>
            </w:r>
          </w:p>
        </w:tc>
        <w:tc>
          <w:tcPr>
            <w:tcW w:type="dxa" w:w="1008"/>
            <w:shd w:fill="FFFFFF"/>
            <w:tcMar>
              <w:top w:w="70" w:type="dxa"/>
              <w:bottom w:w="70" w:type="dxa"/>
              <w:left w:w="90" w:type="dxa"/>
              <w:right w:w="90" w:type="dxa"/>
            </w:tcMar>
          </w:tcPr>
          <w:p>
            <w:pPr>
              <w:jc w:val="center"/>
            </w:pPr>
            <w:r>
              <w:rPr>
                <w:rFonts w:ascii="Calibri" w:hAnsi="Calibri"/>
                <w:color w:val="1F2937"/>
                <w:sz w:val="18"/>
              </w:rPr>
              <w:t>25 ms</w:t>
            </w:r>
          </w:p>
        </w:tc>
      </w:tr>
    </w:tbl>
    <w:p>
      <w:pPr>
        <w:pStyle w:val="Heading2"/>
        <w:keepNext/>
        <w:spacing w:before="280" w:after="80"/>
      </w:pPr>
      <w:r>
        <w:rPr>
          <w:rFonts w:ascii="Calibri" w:hAnsi="Calibri"/>
          <w:b/>
          <w:color w:val="2563EB"/>
          <w:sz w:val="26"/>
        </w:rPr>
        <w:t>8.1 Selection Criteria for the Production Model</w:t>
      </w:r>
    </w:p>
    <w:p>
      <w:pPr>
        <w:pStyle w:val="ListBullet"/>
        <w:spacing w:after="60" w:line="276" w:lineRule="auto"/>
      </w:pPr>
      <w:r>
        <w:rPr>
          <w:rFonts w:ascii="Calibri" w:hAnsi="Calibri"/>
          <w:b/>
          <w:color w:val="1F2937"/>
          <w:sz w:val="22"/>
        </w:rPr>
        <w:t xml:space="preserve">1. Accuracy &amp; Predictive Performance: </w:t>
      </w:r>
      <w:r>
        <w:rPr>
          <w:rFonts w:ascii="Calibri" w:hAnsi="Calibri"/>
          <w:color w:val="374151"/>
          <w:sz w:val="22"/>
        </w:rPr>
        <w:t>Logistic Regression achieved the highest overall test accuracy (80.48%) and the highest Area Under the ROC Curve (0.845 AUC) among all evaluated algorithms.</w:t>
      </w:r>
    </w:p>
    <w:p>
      <w:pPr>
        <w:pStyle w:val="ListBullet"/>
        <w:spacing w:after="60" w:line="276" w:lineRule="auto"/>
      </w:pPr>
      <w:r>
        <w:rPr>
          <w:rFonts w:ascii="Calibri" w:hAnsi="Calibri"/>
          <w:b/>
          <w:color w:val="1F2937"/>
          <w:sz w:val="22"/>
        </w:rPr>
        <w:t xml:space="preserve">2. Training Time &amp; Low Latency: </w:t>
      </w:r>
      <w:r>
        <w:rPr>
          <w:rFonts w:ascii="Calibri" w:hAnsi="Calibri"/>
          <w:color w:val="374151"/>
          <w:sz w:val="22"/>
        </w:rPr>
        <w:t>With an inference latency of under 5 milliseconds, Logistic Regression delivers instantaneous responsiveness during live customer service call interactions and batch cohort processing.</w:t>
      </w:r>
    </w:p>
    <w:p>
      <w:pPr>
        <w:pStyle w:val="ListBullet"/>
        <w:spacing w:after="60" w:line="276" w:lineRule="auto"/>
      </w:pPr>
      <w:r>
        <w:rPr>
          <w:rFonts w:ascii="Calibri" w:hAnsi="Calibri"/>
          <w:b/>
          <w:color w:val="1F2937"/>
          <w:sz w:val="22"/>
        </w:rPr>
        <w:t xml:space="preserve">3. Dataset Characteristics: </w:t>
      </w:r>
      <w:r>
        <w:rPr>
          <w:rFonts w:ascii="Calibri" w:hAnsi="Calibri"/>
          <w:color w:val="374151"/>
          <w:sz w:val="22"/>
        </w:rPr>
        <w:t>The normalized feature space exhibits predominantly linear separation boundaries between short-tenure month-to-month contracts and loyal multi-year contracts.</w:t>
      </w:r>
    </w:p>
    <w:p>
      <w:pPr>
        <w:pStyle w:val="ListBullet"/>
        <w:spacing w:after="60" w:line="276" w:lineRule="auto"/>
      </w:pPr>
      <w:r>
        <w:rPr>
          <w:rFonts w:ascii="Calibri" w:hAnsi="Calibri"/>
          <w:b/>
          <w:color w:val="1F2937"/>
          <w:sz w:val="22"/>
        </w:rPr>
        <w:t xml:space="preserve">4. Explainability &amp; Trust: </w:t>
      </w:r>
      <w:r>
        <w:rPr>
          <w:rFonts w:ascii="Calibri" w:hAnsi="Calibri"/>
          <w:color w:val="374151"/>
          <w:sz w:val="22"/>
        </w:rPr>
        <w:t>Unlike black-box models, Logistic Regression directly yields mathematical log-odds coefficients (β), allowing real-time decomposition into transparent risk drivers for frontline customer care agents.</w:t>
      </w:r>
    </w:p>
    <w:p>
      <w:r>
        <w:br w:type="page"/>
      </w:r>
    </w:p>
    <w:p>
      <w:pPr>
        <w:pStyle w:val="Heading1"/>
        <w:keepNext/>
        <w:spacing w:before="280" w:after="80"/>
      </w:pPr>
      <w:r>
        <w:rPr>
          <w:rFonts w:ascii="Calibri" w:hAnsi="Calibri"/>
          <w:b/>
          <w:color w:val="1E3A8A"/>
          <w:sz w:val="34"/>
        </w:rPr>
        <w:t>9. Model Development</w:t>
      </w:r>
    </w:p>
    <w:p>
      <w:pPr>
        <w:spacing w:after="80" w:line="276" w:lineRule="auto"/>
      </w:pPr>
      <w:r>
        <w:rPr>
          <w:rFonts w:ascii="Calibri" w:hAnsi="Calibri"/>
          <w:color w:val="374151"/>
          <w:sz w:val="22"/>
        </w:rPr>
        <w:t>The model development phase encompasses feature pipeline engineering, hyperparameter optimization, and development tooling configuration:</w:t>
      </w:r>
    </w:p>
    <w:p>
      <w:pPr>
        <w:pStyle w:val="ListBullet"/>
        <w:spacing w:after="60" w:line="276" w:lineRule="auto"/>
      </w:pPr>
      <w:r>
        <w:rPr>
          <w:rFonts w:ascii="Calibri" w:hAnsi="Calibri"/>
          <w:b/>
          <w:color w:val="1F2937"/>
          <w:sz w:val="22"/>
        </w:rPr>
        <w:t xml:space="preserve">• Feature Selection &amp; Engineering: </w:t>
      </w:r>
      <w:r>
        <w:rPr>
          <w:rFonts w:ascii="Calibri" w:hAnsi="Calibri"/>
          <w:color w:val="374151"/>
          <w:sz w:val="22"/>
        </w:rPr>
        <w:t>All 20 predictor attributes were transformed into a standardized 41-dimensional numeric feature vector.</w:t>
      </w:r>
    </w:p>
    <w:p>
      <w:pPr>
        <w:pStyle w:val="ListBullet"/>
        <w:spacing w:after="60" w:line="276" w:lineRule="auto"/>
      </w:pPr>
      <w:r>
        <w:rPr>
          <w:rFonts w:ascii="Calibri" w:hAnsi="Calibri"/>
          <w:b/>
          <w:color w:val="1F2937"/>
          <w:sz w:val="22"/>
        </w:rPr>
        <w:t xml:space="preserve">• Model Configuration &amp; Hyperparameters: </w:t>
      </w:r>
      <w:r>
        <w:rPr>
          <w:rFonts w:ascii="Calibri" w:hAnsi="Calibri"/>
          <w:color w:val="374151"/>
          <w:sz w:val="22"/>
        </w:rPr>
        <w:t>Penalty = L2 (Ridge regularization), Inverse Regularization (C) = 1.0, Optimization Solver = lbfgs (Limited-memory BFGS), Maximum Iterations = 1000, Random State = 42 for deterministic reproducibility.</w:t>
      </w:r>
    </w:p>
    <w:p>
      <w:pPr>
        <w:pStyle w:val="ListBullet"/>
        <w:spacing w:after="60" w:line="276" w:lineRule="auto"/>
      </w:pPr>
      <w:r>
        <w:rPr>
          <w:rFonts w:ascii="Calibri" w:hAnsi="Calibri"/>
          <w:b/>
          <w:color w:val="1F2937"/>
          <w:sz w:val="22"/>
        </w:rPr>
        <w:t xml:space="preserve">• Development Environment: </w:t>
      </w:r>
      <w:r>
        <w:rPr>
          <w:rFonts w:ascii="Calibri" w:hAnsi="Calibri"/>
          <w:color w:val="374151"/>
          <w:sz w:val="22"/>
        </w:rPr>
        <w:t>Python 3.10+ runtime, Visual Studio Code / Antigravity Agentic IDE, Windows 11 64-bit OS.</w:t>
      </w:r>
    </w:p>
    <w:p>
      <w:pPr>
        <w:pStyle w:val="ListBullet"/>
        <w:spacing w:after="60" w:line="276" w:lineRule="auto"/>
      </w:pPr>
      <w:r>
        <w:rPr>
          <w:rFonts w:ascii="Calibri" w:hAnsi="Calibri"/>
          <w:b/>
          <w:color w:val="1F2937"/>
          <w:sz w:val="22"/>
        </w:rPr>
        <w:t xml:space="preserve">• Libraries Used: </w:t>
      </w:r>
      <w:r>
        <w:rPr>
          <w:rFonts w:ascii="Calibri" w:hAnsi="Calibri"/>
          <w:color w:val="374151"/>
          <w:sz w:val="22"/>
        </w:rPr>
        <w:t>Python, Pandas, NumPy, Scikit-learn, Matplotlib, Plotly, Streamlit, Joblib, Python-Docx.</w:t>
      </w:r>
    </w:p>
    <w:p>
      <w:pPr>
        <w:pStyle w:val="Heading1"/>
        <w:keepNext/>
        <w:spacing w:before="280" w:after="80"/>
      </w:pPr>
      <w:r>
        <w:rPr>
          <w:rFonts w:ascii="Calibri" w:hAnsi="Calibri"/>
          <w:b/>
          <w:color w:val="1E3A8A"/>
          <w:sz w:val="34"/>
        </w:rPr>
        <w:t>10. Model Training and Evaluation</w:t>
      </w:r>
    </w:p>
    <w:p>
      <w:pPr>
        <w:spacing w:after="80" w:line="276" w:lineRule="auto"/>
      </w:pPr>
      <w:r>
        <w:rPr>
          <w:rFonts w:ascii="Calibri" w:hAnsi="Calibri"/>
          <w:color w:val="374151"/>
          <w:sz w:val="22"/>
        </w:rPr>
        <w:t>The training and evaluation lifecycle followed a disciplined cross-validation structure: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12" w:space="0" w:color="CBD5E1"/>
              <w:left w:val="single" w:sz="24" w:space="0" w:color="1E3A8A"/>
              <w:bottom w:val="single" w:sz="12" w:space="0" w:color="CBD5E1"/>
              <w:right w:val="single" w:sz="12" w:space="0" w:color="CBD5E1"/>
            </w:tcBorders>
          </w:tcPr>
          <w:p>
            <w:pPr>
              <w:spacing w:after="0"/>
              <w:jc w:val="center"/>
            </w:pPr>
            <w:r>
              <w:rPr>
                <w:rFonts w:ascii="Calibri" w:hAnsi="Calibri"/>
                <w:b/>
                <w:color w:val="1E3A8A"/>
                <w:sz w:val="21"/>
              </w:rPr>
              <w:t>Training Data (5,634 rows)  ➔  Model Fitting (lbfgs solver)  ➔  Validation &amp; Test Data (1,409 rows)  ➔  Calibrated Predictions  ➔  Metric Evaluation</w:t>
            </w:r>
          </w:p>
        </w:tc>
      </w:tr>
    </w:tbl>
    <w:p>
      <w:pPr>
        <w:spacing w:after="60"/>
      </w:pP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1E3A8A"/>
            <w:tcMar>
              <w:top w:w="100" w:type="dxa"/>
              <w:bottom w:w="100" w:type="dxa"/>
              <w:left w:w="100" w:type="dxa"/>
              <w:right w:w="100" w:type="dxa"/>
            </w:tcMar>
          </w:tcPr>
          <w:p>
            <w:pPr>
              <w:jc w:val="center"/>
            </w:pPr>
            <w:r>
              <w:rPr>
                <w:rFonts w:ascii="Calibri" w:hAnsi="Calibri"/>
                <w:b/>
                <w:color w:val="FFFFFF"/>
                <w:sz w:val="19"/>
              </w:rPr>
              <w:t>Class / Metric</w:t>
            </w:r>
          </w:p>
        </w:tc>
        <w:tc>
          <w:tcPr>
            <w:tcW w:type="dxa" w:w="1584"/>
            <w:shd w:fill="1E3A8A"/>
            <w:tcMar>
              <w:top w:w="100" w:type="dxa"/>
              <w:bottom w:w="100" w:type="dxa"/>
              <w:left w:w="100" w:type="dxa"/>
              <w:right w:w="100" w:type="dxa"/>
            </w:tcMar>
          </w:tcPr>
          <w:p>
            <w:pPr>
              <w:jc w:val="center"/>
            </w:pPr>
            <w:r>
              <w:rPr>
                <w:rFonts w:ascii="Calibri" w:hAnsi="Calibri"/>
                <w:b/>
                <w:color w:val="FFFFFF"/>
                <w:sz w:val="19"/>
              </w:rPr>
              <w:t>Precision</w:t>
            </w:r>
          </w:p>
        </w:tc>
        <w:tc>
          <w:tcPr>
            <w:tcW w:type="dxa" w:w="1584"/>
            <w:shd w:fill="1E3A8A"/>
            <w:tcMar>
              <w:top w:w="100" w:type="dxa"/>
              <w:bottom w:w="100" w:type="dxa"/>
              <w:left w:w="100" w:type="dxa"/>
              <w:right w:w="100" w:type="dxa"/>
            </w:tcMar>
          </w:tcPr>
          <w:p>
            <w:pPr>
              <w:jc w:val="center"/>
            </w:pPr>
            <w:r>
              <w:rPr>
                <w:rFonts w:ascii="Calibri" w:hAnsi="Calibri"/>
                <w:b/>
                <w:color w:val="FFFFFF"/>
                <w:sz w:val="19"/>
              </w:rPr>
              <w:t>Recall</w:t>
            </w:r>
          </w:p>
        </w:tc>
        <w:tc>
          <w:tcPr>
            <w:tcW w:type="dxa" w:w="1584"/>
            <w:shd w:fill="1E3A8A"/>
            <w:tcMar>
              <w:top w:w="100" w:type="dxa"/>
              <w:bottom w:w="100" w:type="dxa"/>
              <w:left w:w="100" w:type="dxa"/>
              <w:right w:w="100" w:type="dxa"/>
            </w:tcMar>
          </w:tcPr>
          <w:p>
            <w:pPr>
              <w:jc w:val="center"/>
            </w:pPr>
            <w:r>
              <w:rPr>
                <w:rFonts w:ascii="Calibri" w:hAnsi="Calibri"/>
                <w:b/>
                <w:color w:val="FFFFFF"/>
                <w:sz w:val="19"/>
              </w:rPr>
              <w:t>F1-Score</w:t>
            </w:r>
          </w:p>
        </w:tc>
        <w:tc>
          <w:tcPr>
            <w:tcW w:type="dxa" w:w="1728"/>
            <w:shd w:fill="1E3A8A"/>
            <w:tcMar>
              <w:top w:w="100" w:type="dxa"/>
              <w:bottom w:w="100" w:type="dxa"/>
              <w:left w:w="100" w:type="dxa"/>
              <w:right w:w="100" w:type="dxa"/>
            </w:tcMar>
          </w:tcPr>
          <w:p>
            <w:pPr>
              <w:jc w:val="center"/>
            </w:pPr>
            <w:r>
              <w:rPr>
                <w:rFonts w:ascii="Calibri" w:hAnsi="Calibri"/>
                <w:b/>
                <w:color w:val="FFFFFF"/>
                <w:sz w:val="19"/>
              </w:rPr>
              <w:t>Support Count</w:t>
            </w:r>
          </w:p>
        </w:tc>
      </w:tr>
      <w:tr>
        <w:tc>
          <w:tcPr>
            <w:tcW w:type="dxa" w:w="3168"/>
            <w:shd w:fill="FFFFFF"/>
            <w:tcMar>
              <w:top w:w="70" w:type="dxa"/>
              <w:bottom w:w="70" w:type="dxa"/>
              <w:left w:w="90" w:type="dxa"/>
              <w:right w:w="90" w:type="dxa"/>
            </w:tcMar>
          </w:tcPr>
          <w:p>
            <w:pPr>
              <w:jc w:val="left"/>
            </w:pPr>
            <w:r>
              <w:rPr>
                <w:rFonts w:ascii="Calibri" w:hAnsi="Calibri"/>
                <w:color w:val="1F2937"/>
                <w:sz w:val="18"/>
              </w:rPr>
              <w:t>Retained (Class 0: No Churn)</w:t>
            </w:r>
          </w:p>
        </w:tc>
        <w:tc>
          <w:tcPr>
            <w:tcW w:type="dxa" w:w="1584"/>
            <w:shd w:fill="FFFFFF"/>
            <w:tcMar>
              <w:top w:w="70" w:type="dxa"/>
              <w:bottom w:w="70" w:type="dxa"/>
              <w:left w:w="90" w:type="dxa"/>
              <w:right w:w="90" w:type="dxa"/>
            </w:tcMar>
          </w:tcPr>
          <w:p>
            <w:pPr>
              <w:jc w:val="center"/>
            </w:pPr>
            <w:r>
              <w:rPr>
                <w:rFonts w:ascii="Calibri" w:hAnsi="Calibri"/>
                <w:color w:val="1F2937"/>
                <w:sz w:val="18"/>
              </w:rPr>
              <w:t>0.85 (85%)</w:t>
            </w:r>
          </w:p>
        </w:tc>
        <w:tc>
          <w:tcPr>
            <w:tcW w:type="dxa" w:w="1584"/>
            <w:shd w:fill="FFFFFF"/>
            <w:tcMar>
              <w:top w:w="70" w:type="dxa"/>
              <w:bottom w:w="70" w:type="dxa"/>
              <w:left w:w="90" w:type="dxa"/>
              <w:right w:w="90" w:type="dxa"/>
            </w:tcMar>
          </w:tcPr>
          <w:p>
            <w:pPr>
              <w:jc w:val="center"/>
            </w:pPr>
            <w:r>
              <w:rPr>
                <w:rFonts w:ascii="Calibri" w:hAnsi="Calibri"/>
                <w:color w:val="1F2937"/>
                <w:sz w:val="18"/>
              </w:rPr>
              <w:t>0.90 (90%)</w:t>
            </w:r>
          </w:p>
        </w:tc>
        <w:tc>
          <w:tcPr>
            <w:tcW w:type="dxa" w:w="1584"/>
            <w:shd w:fill="FFFFFF"/>
            <w:tcMar>
              <w:top w:w="70" w:type="dxa"/>
              <w:bottom w:w="70" w:type="dxa"/>
              <w:left w:w="90" w:type="dxa"/>
              <w:right w:w="90" w:type="dxa"/>
            </w:tcMar>
          </w:tcPr>
          <w:p>
            <w:pPr>
              <w:jc w:val="center"/>
            </w:pPr>
            <w:r>
              <w:rPr>
                <w:rFonts w:ascii="Calibri" w:hAnsi="Calibri"/>
                <w:color w:val="1F2937"/>
                <w:sz w:val="18"/>
              </w:rPr>
              <w:t>0.87 (87%)</w:t>
            </w:r>
          </w:p>
        </w:tc>
        <w:tc>
          <w:tcPr>
            <w:tcW w:type="dxa" w:w="1728"/>
            <w:shd w:fill="FFFFFF"/>
            <w:tcMar>
              <w:top w:w="70" w:type="dxa"/>
              <w:bottom w:w="70" w:type="dxa"/>
              <w:left w:w="90" w:type="dxa"/>
              <w:right w:w="90" w:type="dxa"/>
            </w:tcMar>
          </w:tcPr>
          <w:p>
            <w:pPr>
              <w:jc w:val="center"/>
            </w:pPr>
            <w:r>
              <w:rPr>
                <w:rFonts w:ascii="Calibri" w:hAnsi="Calibri"/>
                <w:color w:val="1F2937"/>
                <w:sz w:val="18"/>
              </w:rPr>
              <w:t>1,035</w:t>
            </w:r>
          </w:p>
        </w:tc>
      </w:tr>
      <w:tr>
        <w:tc>
          <w:tcPr>
            <w:tcW w:type="dxa" w:w="3168"/>
            <w:shd w:fill="F8FAFC"/>
            <w:tcMar>
              <w:top w:w="70" w:type="dxa"/>
              <w:bottom w:w="70" w:type="dxa"/>
              <w:left w:w="90" w:type="dxa"/>
              <w:right w:w="90" w:type="dxa"/>
            </w:tcMar>
          </w:tcPr>
          <w:p>
            <w:pPr>
              <w:jc w:val="left"/>
            </w:pPr>
            <w:r>
              <w:rPr>
                <w:rFonts w:ascii="Calibri" w:hAnsi="Calibri"/>
                <w:color w:val="1F2937"/>
                <w:sz w:val="18"/>
              </w:rPr>
              <w:t>Churned (Class 1: Churn)</w:t>
            </w:r>
          </w:p>
        </w:tc>
        <w:tc>
          <w:tcPr>
            <w:tcW w:type="dxa" w:w="1584"/>
            <w:shd w:fill="F8FAFC"/>
            <w:tcMar>
              <w:top w:w="70" w:type="dxa"/>
              <w:bottom w:w="70" w:type="dxa"/>
              <w:left w:w="90" w:type="dxa"/>
              <w:right w:w="90" w:type="dxa"/>
            </w:tcMar>
          </w:tcPr>
          <w:p>
            <w:pPr>
              <w:jc w:val="center"/>
            </w:pPr>
            <w:r>
              <w:rPr>
                <w:rFonts w:ascii="Calibri" w:hAnsi="Calibri"/>
                <w:color w:val="1F2937"/>
                <w:sz w:val="18"/>
              </w:rPr>
              <w:t>0.66 (66%)</w:t>
            </w:r>
          </w:p>
        </w:tc>
        <w:tc>
          <w:tcPr>
            <w:tcW w:type="dxa" w:w="1584"/>
            <w:shd w:fill="F8FAFC"/>
            <w:tcMar>
              <w:top w:w="70" w:type="dxa"/>
              <w:bottom w:w="70" w:type="dxa"/>
              <w:left w:w="90" w:type="dxa"/>
              <w:right w:w="90" w:type="dxa"/>
            </w:tcMar>
          </w:tcPr>
          <w:p>
            <w:pPr>
              <w:jc w:val="center"/>
            </w:pPr>
            <w:r>
              <w:rPr>
                <w:rFonts w:ascii="Calibri" w:hAnsi="Calibri"/>
                <w:color w:val="1F2937"/>
                <w:sz w:val="18"/>
              </w:rPr>
              <w:t>0.56 (56%)</w:t>
            </w:r>
          </w:p>
        </w:tc>
        <w:tc>
          <w:tcPr>
            <w:tcW w:type="dxa" w:w="1584"/>
            <w:shd w:fill="F8FAFC"/>
            <w:tcMar>
              <w:top w:w="70" w:type="dxa"/>
              <w:bottom w:w="70" w:type="dxa"/>
              <w:left w:w="90" w:type="dxa"/>
              <w:right w:w="90" w:type="dxa"/>
            </w:tcMar>
          </w:tcPr>
          <w:p>
            <w:pPr>
              <w:jc w:val="center"/>
            </w:pPr>
            <w:r>
              <w:rPr>
                <w:rFonts w:ascii="Calibri" w:hAnsi="Calibri"/>
                <w:color w:val="1F2937"/>
                <w:sz w:val="18"/>
              </w:rPr>
              <w:t>0.60 (60%)</w:t>
            </w:r>
          </w:p>
        </w:tc>
        <w:tc>
          <w:tcPr>
            <w:tcW w:type="dxa" w:w="1728"/>
            <w:shd w:fill="F8FAFC"/>
            <w:tcMar>
              <w:top w:w="70" w:type="dxa"/>
              <w:bottom w:w="70" w:type="dxa"/>
              <w:left w:w="90" w:type="dxa"/>
              <w:right w:w="90" w:type="dxa"/>
            </w:tcMar>
          </w:tcPr>
          <w:p>
            <w:pPr>
              <w:jc w:val="center"/>
            </w:pPr>
            <w:r>
              <w:rPr>
                <w:rFonts w:ascii="Calibri" w:hAnsi="Calibri"/>
                <w:color w:val="1F2937"/>
                <w:sz w:val="18"/>
              </w:rPr>
              <w:t>374</w:t>
            </w:r>
          </w:p>
        </w:tc>
      </w:tr>
      <w:tr>
        <w:tc>
          <w:tcPr>
            <w:tcW w:type="dxa" w:w="3168"/>
            <w:shd w:fill="FFFFFF"/>
            <w:tcMar>
              <w:top w:w="70" w:type="dxa"/>
              <w:bottom w:w="70" w:type="dxa"/>
              <w:left w:w="90" w:type="dxa"/>
              <w:right w:w="90" w:type="dxa"/>
            </w:tcMar>
          </w:tcPr>
          <w:p>
            <w:pPr>
              <w:jc w:val="left"/>
            </w:pPr>
            <w:r>
              <w:rPr>
                <w:rFonts w:ascii="Calibri" w:hAnsi="Calibri"/>
                <w:color w:val="1F2937"/>
                <w:sz w:val="18"/>
              </w:rPr>
              <w:t>Accuracy</w:t>
            </w:r>
          </w:p>
        </w:tc>
        <w:tc>
          <w:tcPr>
            <w:tcW w:type="dxa" w:w="1584"/>
            <w:shd w:fill="FFFFFF"/>
            <w:tcMar>
              <w:top w:w="70" w:type="dxa"/>
              <w:bottom w:w="70" w:type="dxa"/>
              <w:left w:w="90" w:type="dxa"/>
              <w:right w:w="90" w:type="dxa"/>
            </w:tcMar>
          </w:tcPr>
          <w:p>
            <w:pPr>
              <w:jc w:val="center"/>
            </w:pPr>
            <w:r>
              <w:rPr>
                <w:rFonts w:ascii="Calibri" w:hAnsi="Calibri"/>
                <w:color w:val="1F2937"/>
                <w:sz w:val="18"/>
              </w:rPr>
              <w:t>-</w:t>
            </w:r>
          </w:p>
        </w:tc>
        <w:tc>
          <w:tcPr>
            <w:tcW w:type="dxa" w:w="1584"/>
            <w:shd w:fill="FFFFFF"/>
            <w:tcMar>
              <w:top w:w="70" w:type="dxa"/>
              <w:bottom w:w="70" w:type="dxa"/>
              <w:left w:w="90" w:type="dxa"/>
              <w:right w:w="90" w:type="dxa"/>
            </w:tcMar>
          </w:tcPr>
          <w:p>
            <w:pPr>
              <w:jc w:val="center"/>
            </w:pPr>
            <w:r>
              <w:rPr>
                <w:rFonts w:ascii="Calibri" w:hAnsi="Calibri"/>
                <w:color w:val="1F2937"/>
                <w:sz w:val="18"/>
              </w:rPr>
              <w:t>-</w:t>
            </w:r>
          </w:p>
        </w:tc>
        <w:tc>
          <w:tcPr>
            <w:tcW w:type="dxa" w:w="1584"/>
            <w:shd w:fill="FFFFFF"/>
            <w:tcMar>
              <w:top w:w="70" w:type="dxa"/>
              <w:bottom w:w="70" w:type="dxa"/>
              <w:left w:w="90" w:type="dxa"/>
              <w:right w:w="90" w:type="dxa"/>
            </w:tcMar>
          </w:tcPr>
          <w:p>
            <w:pPr>
              <w:jc w:val="center"/>
            </w:pPr>
            <w:r>
              <w:rPr>
                <w:rFonts w:ascii="Calibri" w:hAnsi="Calibri"/>
                <w:color w:val="1F2937"/>
                <w:sz w:val="18"/>
              </w:rPr>
              <w:t>0.805 (80.5%)</w:t>
            </w:r>
          </w:p>
        </w:tc>
        <w:tc>
          <w:tcPr>
            <w:tcW w:type="dxa" w:w="1728"/>
            <w:shd w:fill="FFFFFF"/>
            <w:tcMar>
              <w:top w:w="70" w:type="dxa"/>
              <w:bottom w:w="70" w:type="dxa"/>
              <w:left w:w="90" w:type="dxa"/>
              <w:right w:w="90" w:type="dxa"/>
            </w:tcMar>
          </w:tcPr>
          <w:p>
            <w:pPr>
              <w:jc w:val="center"/>
            </w:pPr>
            <w:r>
              <w:rPr>
                <w:rFonts w:ascii="Calibri" w:hAnsi="Calibri"/>
                <w:color w:val="1F2937"/>
                <w:sz w:val="18"/>
              </w:rPr>
              <w:t>1,409</w:t>
            </w:r>
          </w:p>
        </w:tc>
      </w:tr>
      <w:tr>
        <w:tc>
          <w:tcPr>
            <w:tcW w:type="dxa" w:w="3168"/>
            <w:shd w:fill="F8FAFC"/>
            <w:tcMar>
              <w:top w:w="70" w:type="dxa"/>
              <w:bottom w:w="70" w:type="dxa"/>
              <w:left w:w="90" w:type="dxa"/>
              <w:right w:w="90" w:type="dxa"/>
            </w:tcMar>
          </w:tcPr>
          <w:p>
            <w:pPr>
              <w:jc w:val="left"/>
            </w:pPr>
            <w:r>
              <w:rPr>
                <w:rFonts w:ascii="Calibri" w:hAnsi="Calibri"/>
                <w:color w:val="1F2937"/>
                <w:sz w:val="18"/>
              </w:rPr>
              <w:t>Macro Average</w:t>
            </w:r>
          </w:p>
        </w:tc>
        <w:tc>
          <w:tcPr>
            <w:tcW w:type="dxa" w:w="1584"/>
            <w:shd w:fill="F8FAFC"/>
            <w:tcMar>
              <w:top w:w="70" w:type="dxa"/>
              <w:bottom w:w="70" w:type="dxa"/>
              <w:left w:w="90" w:type="dxa"/>
              <w:right w:w="90" w:type="dxa"/>
            </w:tcMar>
          </w:tcPr>
          <w:p>
            <w:pPr>
              <w:jc w:val="center"/>
            </w:pPr>
            <w:r>
              <w:rPr>
                <w:rFonts w:ascii="Calibri" w:hAnsi="Calibri"/>
                <w:color w:val="1F2937"/>
                <w:sz w:val="18"/>
              </w:rPr>
              <w:t>0.76 (76%)</w:t>
            </w:r>
          </w:p>
        </w:tc>
        <w:tc>
          <w:tcPr>
            <w:tcW w:type="dxa" w:w="1584"/>
            <w:shd w:fill="F8FAFC"/>
            <w:tcMar>
              <w:top w:w="70" w:type="dxa"/>
              <w:bottom w:w="70" w:type="dxa"/>
              <w:left w:w="90" w:type="dxa"/>
              <w:right w:w="90" w:type="dxa"/>
            </w:tcMar>
          </w:tcPr>
          <w:p>
            <w:pPr>
              <w:jc w:val="center"/>
            </w:pPr>
            <w:r>
              <w:rPr>
                <w:rFonts w:ascii="Calibri" w:hAnsi="Calibri"/>
                <w:color w:val="1F2937"/>
                <w:sz w:val="18"/>
              </w:rPr>
              <w:t>0.73 (73%)</w:t>
            </w:r>
          </w:p>
        </w:tc>
        <w:tc>
          <w:tcPr>
            <w:tcW w:type="dxa" w:w="1584"/>
            <w:shd w:fill="F8FAFC"/>
            <w:tcMar>
              <w:top w:w="70" w:type="dxa"/>
              <w:bottom w:w="70" w:type="dxa"/>
              <w:left w:w="90" w:type="dxa"/>
              <w:right w:w="90" w:type="dxa"/>
            </w:tcMar>
          </w:tcPr>
          <w:p>
            <w:pPr>
              <w:jc w:val="center"/>
            </w:pPr>
            <w:r>
              <w:rPr>
                <w:rFonts w:ascii="Calibri" w:hAnsi="Calibri"/>
                <w:color w:val="1F2937"/>
                <w:sz w:val="18"/>
              </w:rPr>
              <w:t>0.74 (74%)</w:t>
            </w:r>
          </w:p>
        </w:tc>
        <w:tc>
          <w:tcPr>
            <w:tcW w:type="dxa" w:w="1728"/>
            <w:shd w:fill="F8FAFC"/>
            <w:tcMar>
              <w:top w:w="70" w:type="dxa"/>
              <w:bottom w:w="70" w:type="dxa"/>
              <w:left w:w="90" w:type="dxa"/>
              <w:right w:w="90" w:type="dxa"/>
            </w:tcMar>
          </w:tcPr>
          <w:p>
            <w:pPr>
              <w:jc w:val="center"/>
            </w:pPr>
            <w:r>
              <w:rPr>
                <w:rFonts w:ascii="Calibri" w:hAnsi="Calibri"/>
                <w:color w:val="1F2937"/>
                <w:sz w:val="18"/>
              </w:rPr>
              <w:t>1,409</w:t>
            </w:r>
          </w:p>
        </w:tc>
      </w:tr>
      <w:tr>
        <w:tc>
          <w:tcPr>
            <w:tcW w:type="dxa" w:w="3168"/>
            <w:shd w:fill="FFFFFF"/>
            <w:tcMar>
              <w:top w:w="70" w:type="dxa"/>
              <w:bottom w:w="70" w:type="dxa"/>
              <w:left w:w="90" w:type="dxa"/>
              <w:right w:w="90" w:type="dxa"/>
            </w:tcMar>
          </w:tcPr>
          <w:p>
            <w:pPr>
              <w:jc w:val="left"/>
            </w:pPr>
            <w:r>
              <w:rPr>
                <w:rFonts w:ascii="Calibri" w:hAnsi="Calibri"/>
                <w:color w:val="1F2937"/>
                <w:sz w:val="18"/>
              </w:rPr>
              <w:t>Weighted Average</w:t>
            </w:r>
          </w:p>
        </w:tc>
        <w:tc>
          <w:tcPr>
            <w:tcW w:type="dxa" w:w="1584"/>
            <w:shd w:fill="FFFFFF"/>
            <w:tcMar>
              <w:top w:w="70" w:type="dxa"/>
              <w:bottom w:w="70" w:type="dxa"/>
              <w:left w:w="90" w:type="dxa"/>
              <w:right w:w="90" w:type="dxa"/>
            </w:tcMar>
          </w:tcPr>
          <w:p>
            <w:pPr>
              <w:jc w:val="center"/>
            </w:pPr>
            <w:r>
              <w:rPr>
                <w:rFonts w:ascii="Calibri" w:hAnsi="Calibri"/>
                <w:color w:val="1F2937"/>
                <w:sz w:val="18"/>
              </w:rPr>
              <w:t>0.80 (80%)</w:t>
            </w:r>
          </w:p>
        </w:tc>
        <w:tc>
          <w:tcPr>
            <w:tcW w:type="dxa" w:w="1584"/>
            <w:shd w:fill="FFFFFF"/>
            <w:tcMar>
              <w:top w:w="70" w:type="dxa"/>
              <w:bottom w:w="70" w:type="dxa"/>
              <w:left w:w="90" w:type="dxa"/>
              <w:right w:w="90" w:type="dxa"/>
            </w:tcMar>
          </w:tcPr>
          <w:p>
            <w:pPr>
              <w:jc w:val="center"/>
            </w:pPr>
            <w:r>
              <w:rPr>
                <w:rFonts w:ascii="Calibri" w:hAnsi="Calibri"/>
                <w:color w:val="1F2937"/>
                <w:sz w:val="18"/>
              </w:rPr>
              <w:t>0.80 (80%)</w:t>
            </w:r>
          </w:p>
        </w:tc>
        <w:tc>
          <w:tcPr>
            <w:tcW w:type="dxa" w:w="1584"/>
            <w:shd w:fill="FFFFFF"/>
            <w:tcMar>
              <w:top w:w="70" w:type="dxa"/>
              <w:bottom w:w="70" w:type="dxa"/>
              <w:left w:w="90" w:type="dxa"/>
              <w:right w:w="90" w:type="dxa"/>
            </w:tcMar>
          </w:tcPr>
          <w:p>
            <w:pPr>
              <w:jc w:val="center"/>
            </w:pPr>
            <w:r>
              <w:rPr>
                <w:rFonts w:ascii="Calibri" w:hAnsi="Calibri"/>
                <w:color w:val="1F2937"/>
                <w:sz w:val="18"/>
              </w:rPr>
              <w:t>0.80 (80%)</w:t>
            </w:r>
          </w:p>
        </w:tc>
        <w:tc>
          <w:tcPr>
            <w:tcW w:type="dxa" w:w="1728"/>
            <w:shd w:fill="FFFFFF"/>
            <w:tcMar>
              <w:top w:w="70" w:type="dxa"/>
              <w:bottom w:w="70" w:type="dxa"/>
              <w:left w:w="90" w:type="dxa"/>
              <w:right w:w="90" w:type="dxa"/>
            </w:tcMar>
          </w:tcPr>
          <w:p>
            <w:pPr>
              <w:jc w:val="center"/>
            </w:pPr>
            <w:r>
              <w:rPr>
                <w:rFonts w:ascii="Calibri" w:hAnsi="Calibri"/>
                <w:color w:val="1F2937"/>
                <w:sz w:val="18"/>
              </w:rPr>
              <w:t>1,409</w:t>
            </w:r>
          </w:p>
        </w:tc>
      </w:tr>
    </w:tbl>
    <w:p>
      <w:pPr>
        <w:pStyle w:val="Heading2"/>
        <w:keepNext/>
        <w:spacing w:before="280" w:after="80"/>
      </w:pPr>
      <w:r>
        <w:rPr>
          <w:rFonts w:ascii="Calibri" w:hAnsi="Calibri"/>
          <w:b/>
          <w:color w:val="2563EB"/>
          <w:sz w:val="26"/>
        </w:rPr>
        <w:t>10.1 Confusion Matrix Analysis</w:t>
      </w:r>
    </w:p>
    <w:tbl>
      <w:tblPr>
        <w:tblW w:type="auto" w:w="0"/>
        <w:jc w:val="center"/>
        <w:tblLook w:firstColumn="1" w:firstRow="1" w:lastColumn="0" w:lastRow="0" w:noHBand="0" w:noVBand="1" w:val="04A0"/>
      </w:tblPr>
      <w:tblGrid>
        <w:gridCol w:w="3120"/>
        <w:gridCol w:w="3120"/>
        <w:gridCol w:w="3120"/>
      </w:tblGrid>
      <w:tr>
        <w:tc>
          <w:tcPr>
            <w:tcW w:type="dxa" w:w="3168"/>
            <w:shd w:fill="1E3A8A"/>
            <w:tcMar>
              <w:top w:w="100" w:type="dxa"/>
              <w:bottom w:w="100" w:type="dxa"/>
              <w:left w:w="100" w:type="dxa"/>
              <w:right w:w="100" w:type="dxa"/>
            </w:tcMar>
          </w:tcPr>
          <w:p>
            <w:pPr>
              <w:jc w:val="center"/>
            </w:pPr>
            <w:r>
              <w:rPr>
                <w:rFonts w:ascii="Calibri" w:hAnsi="Calibri"/>
                <w:b/>
                <w:color w:val="FFFFFF"/>
                <w:sz w:val="19"/>
              </w:rPr>
              <w:t>Ground Truth</w:t>
            </w:r>
          </w:p>
        </w:tc>
        <w:tc>
          <w:tcPr>
            <w:tcW w:type="dxa" w:w="3168"/>
            <w:shd w:fill="1E3A8A"/>
            <w:tcMar>
              <w:top w:w="100" w:type="dxa"/>
              <w:bottom w:w="100" w:type="dxa"/>
              <w:left w:w="100" w:type="dxa"/>
              <w:right w:w="100" w:type="dxa"/>
            </w:tcMar>
          </w:tcPr>
          <w:p>
            <w:pPr>
              <w:jc w:val="center"/>
            </w:pPr>
            <w:r>
              <w:rPr>
                <w:rFonts w:ascii="Calibri" w:hAnsi="Calibri"/>
                <w:b/>
                <w:color w:val="FFFFFF"/>
                <w:sz w:val="19"/>
              </w:rPr>
              <w:t>Predicted: Retained (No)</w:t>
            </w:r>
          </w:p>
        </w:tc>
        <w:tc>
          <w:tcPr>
            <w:tcW w:type="dxa" w:w="3168"/>
            <w:shd w:fill="1E3A8A"/>
            <w:tcMar>
              <w:top w:w="100" w:type="dxa"/>
              <w:bottom w:w="100" w:type="dxa"/>
              <w:left w:w="100" w:type="dxa"/>
              <w:right w:w="100" w:type="dxa"/>
            </w:tcMar>
          </w:tcPr>
          <w:p>
            <w:pPr>
              <w:jc w:val="center"/>
            </w:pPr>
            <w:r>
              <w:rPr>
                <w:rFonts w:ascii="Calibri" w:hAnsi="Calibri"/>
                <w:b/>
                <w:color w:val="FFFFFF"/>
                <w:sz w:val="19"/>
              </w:rPr>
              <w:t>Predicted: Churned (Yes)</w:t>
            </w:r>
          </w:p>
        </w:tc>
      </w:tr>
      <w:tr>
        <w:tc>
          <w:tcPr>
            <w:tcW w:type="dxa" w:w="3168"/>
            <w:shd w:fill="FFFFFF"/>
            <w:tcMar>
              <w:top w:w="70" w:type="dxa"/>
              <w:bottom w:w="70" w:type="dxa"/>
              <w:left w:w="90" w:type="dxa"/>
              <w:right w:w="90" w:type="dxa"/>
            </w:tcMar>
          </w:tcPr>
          <w:p>
            <w:pPr>
              <w:jc w:val="left"/>
            </w:pPr>
            <w:r>
              <w:rPr>
                <w:rFonts w:ascii="Calibri" w:hAnsi="Calibri"/>
                <w:color w:val="1F2937"/>
                <w:sz w:val="18"/>
              </w:rPr>
              <w:t>Actual Retained (No Churn)</w:t>
            </w:r>
          </w:p>
        </w:tc>
        <w:tc>
          <w:tcPr>
            <w:tcW w:type="dxa" w:w="3168"/>
            <w:shd w:fill="FFFFFF"/>
            <w:tcMar>
              <w:top w:w="70" w:type="dxa"/>
              <w:bottom w:w="70" w:type="dxa"/>
              <w:left w:w="90" w:type="dxa"/>
              <w:right w:w="90" w:type="dxa"/>
            </w:tcMar>
          </w:tcPr>
          <w:p>
            <w:pPr>
              <w:jc w:val="center"/>
            </w:pPr>
            <w:r>
              <w:rPr>
                <w:rFonts w:ascii="Calibri" w:hAnsi="Calibri"/>
                <w:color w:val="1F2937"/>
                <w:sz w:val="18"/>
              </w:rPr>
              <w:t>930 (True Negatives - TN)</w:t>
            </w:r>
          </w:p>
        </w:tc>
        <w:tc>
          <w:tcPr>
            <w:tcW w:type="dxa" w:w="3168"/>
            <w:shd w:fill="FFFFFF"/>
            <w:tcMar>
              <w:top w:w="70" w:type="dxa"/>
              <w:bottom w:w="70" w:type="dxa"/>
              <w:left w:w="90" w:type="dxa"/>
              <w:right w:w="90" w:type="dxa"/>
            </w:tcMar>
          </w:tcPr>
          <w:p>
            <w:pPr>
              <w:jc w:val="center"/>
            </w:pPr>
            <w:r>
              <w:rPr>
                <w:rFonts w:ascii="Calibri" w:hAnsi="Calibri"/>
                <w:color w:val="1F2937"/>
                <w:sz w:val="18"/>
              </w:rPr>
              <w:t>105 (False Positives - FP)</w:t>
            </w:r>
          </w:p>
        </w:tc>
      </w:tr>
      <w:tr>
        <w:tc>
          <w:tcPr>
            <w:tcW w:type="dxa" w:w="3168"/>
            <w:shd w:fill="F8FAFC"/>
            <w:tcMar>
              <w:top w:w="70" w:type="dxa"/>
              <w:bottom w:w="70" w:type="dxa"/>
              <w:left w:w="90" w:type="dxa"/>
              <w:right w:w="90" w:type="dxa"/>
            </w:tcMar>
          </w:tcPr>
          <w:p>
            <w:pPr>
              <w:jc w:val="left"/>
            </w:pPr>
            <w:r>
              <w:rPr>
                <w:rFonts w:ascii="Calibri" w:hAnsi="Calibri"/>
                <w:color w:val="1F2937"/>
                <w:sz w:val="18"/>
              </w:rPr>
              <w:t>Actual Churned (Yes Churn)</w:t>
            </w:r>
          </w:p>
        </w:tc>
        <w:tc>
          <w:tcPr>
            <w:tcW w:type="dxa" w:w="3168"/>
            <w:shd w:fill="F8FAFC"/>
            <w:tcMar>
              <w:top w:w="70" w:type="dxa"/>
              <w:bottom w:w="70" w:type="dxa"/>
              <w:left w:w="90" w:type="dxa"/>
              <w:right w:w="90" w:type="dxa"/>
            </w:tcMar>
          </w:tcPr>
          <w:p>
            <w:pPr>
              <w:jc w:val="center"/>
            </w:pPr>
            <w:r>
              <w:rPr>
                <w:rFonts w:ascii="Calibri" w:hAnsi="Calibri"/>
                <w:color w:val="1F2937"/>
                <w:sz w:val="18"/>
              </w:rPr>
              <w:t>165 (False Negatives - FN)</w:t>
            </w:r>
          </w:p>
        </w:tc>
        <w:tc>
          <w:tcPr>
            <w:tcW w:type="dxa" w:w="3168"/>
            <w:shd w:fill="F8FAFC"/>
            <w:tcMar>
              <w:top w:w="70" w:type="dxa"/>
              <w:bottom w:w="70" w:type="dxa"/>
              <w:left w:w="90" w:type="dxa"/>
              <w:right w:w="90" w:type="dxa"/>
            </w:tcMar>
          </w:tcPr>
          <w:p>
            <w:pPr>
              <w:jc w:val="center"/>
            </w:pPr>
            <w:r>
              <w:rPr>
                <w:rFonts w:ascii="Calibri" w:hAnsi="Calibri"/>
                <w:color w:val="1F2937"/>
                <w:sz w:val="18"/>
              </w:rPr>
              <w:t>209 (True Positives - TP)</w:t>
            </w:r>
          </w:p>
        </w:tc>
      </w:tr>
    </w:tbl>
    <w:p>
      <w:r>
        <w:br w:type="page"/>
      </w:r>
    </w:p>
    <w:p>
      <w:pPr>
        <w:pStyle w:val="Heading1"/>
        <w:keepNext/>
        <w:spacing w:before="280" w:after="80"/>
      </w:pPr>
      <w:r>
        <w:rPr>
          <w:rFonts w:ascii="Calibri" w:hAnsi="Calibri"/>
          <w:b/>
          <w:color w:val="1E3A8A"/>
          <w:sz w:val="34"/>
        </w:rPr>
        <w:t>11. Results and Analysis</w:t>
      </w:r>
    </w:p>
    <w:p>
      <w:pPr>
        <w:spacing w:after="80" w:line="276" w:lineRule="auto"/>
      </w:pPr>
      <w:r>
        <w:rPr>
          <w:rFonts w:ascii="Calibri" w:hAnsi="Calibri"/>
          <w:color w:val="374151"/>
          <w:sz w:val="22"/>
        </w:rPr>
        <w:t>Model evaluation and exploratory attribution yielded definitive empirical findings regarding subscriber churn dynamics:</w:t>
      </w:r>
    </w:p>
    <w:p>
      <w:pPr>
        <w:pStyle w:val="Heading2"/>
        <w:keepNext/>
        <w:spacing w:before="280" w:after="80"/>
      </w:pPr>
      <w:r>
        <w:rPr>
          <w:rFonts w:ascii="Calibri" w:hAnsi="Calibri"/>
          <w:b/>
          <w:color w:val="2563EB"/>
          <w:sz w:val="26"/>
        </w:rPr>
        <w:t>11.1 Confusion Matrix &amp; Error Distribution</w:t>
      </w:r>
    </w:p>
    <w:p>
      <w:pPr>
        <w:spacing w:after="80" w:line="276" w:lineRule="auto"/>
      </w:pPr>
      <w:r>
        <w:rPr>
          <w:rFonts w:ascii="Calibri" w:hAnsi="Calibri"/>
          <w:color w:val="374151"/>
          <w:sz w:val="22"/>
        </w:rPr>
        <w:t>The model accurately identified 930 non-churners (TN) and 209 active churners (TP), while maintaining a low false positive count of 105, protecting the company from unnecessary promotional costs on non-churners.</w:t>
      </w:r>
    </w:p>
    <w:p>
      <w:r>
        <w:drawing>
          <wp:inline xmlns:a="http://schemas.openxmlformats.org/drawingml/2006/main" xmlns:pic="http://schemas.openxmlformats.org/drawingml/2006/picture">
            <wp:extent cx="4114800" cy="2895600"/>
            <wp:docPr id="1" name="Picture 1"/>
            <wp:cNvGraphicFramePr>
              <a:graphicFrameLocks noChangeAspect="1"/>
            </wp:cNvGraphicFramePr>
            <a:graphic>
              <a:graphicData uri="http://schemas.openxmlformats.org/drawingml/2006/picture">
                <pic:pic>
                  <pic:nvPicPr>
                    <pic:cNvPr id="0" name="06_confusion_matrix_chart.png"/>
                    <pic:cNvPicPr/>
                  </pic:nvPicPr>
                  <pic:blipFill>
                    <a:blip r:embed="rId9"/>
                    <a:stretch>
                      <a:fillRect/>
                    </a:stretch>
                  </pic:blipFill>
                  <pic:spPr>
                    <a:xfrm>
                      <a:off x="0" y="0"/>
                      <a:ext cx="4114800" cy="2895600"/>
                    </a:xfrm>
                    <a:prstGeom prst="rect"/>
                  </pic:spPr>
                </pic:pic>
              </a:graphicData>
            </a:graphic>
          </wp:inline>
        </w:drawing>
      </w:r>
    </w:p>
    <w:p>
      <w:pPr>
        <w:jc w:val="center"/>
      </w:pPr>
      <w:r>
        <w:rPr>
          <w:i/>
          <w:color w:val="6B7280"/>
          <w:sz w:val="18"/>
        </w:rPr>
        <w:t>Figure 1: Confusion Matrix on Test Set (1,409 Unseen Customers)</w:t>
      </w:r>
    </w:p>
    <w:p>
      <w:pPr>
        <w:pStyle w:val="Heading2"/>
        <w:keepNext/>
        <w:spacing w:before="280" w:after="80"/>
      </w:pPr>
      <w:r>
        <w:rPr>
          <w:rFonts w:ascii="Calibri" w:hAnsi="Calibri"/>
          <w:b/>
          <w:color w:val="2563EB"/>
          <w:sz w:val="26"/>
        </w:rPr>
        <w:t>11.2 ROC-AUC Diagnostic Curve</w:t>
      </w:r>
    </w:p>
    <w:p>
      <w:pPr>
        <w:spacing w:after="80" w:line="276" w:lineRule="auto"/>
      </w:pPr>
      <w:r>
        <w:rPr>
          <w:rFonts w:ascii="Calibri" w:hAnsi="Calibri"/>
          <w:color w:val="374151"/>
          <w:sz w:val="22"/>
        </w:rPr>
        <w:t>The Area Under the Receiver Operating Characteristic (ROC-AUC) score reached 0.845, demonstrating strong discriminatory power in distinguishing churners from retained subscribers across all classification thresholds.</w:t>
      </w:r>
    </w:p>
    <w:p>
      <w:r>
        <w:drawing>
          <wp:inline xmlns:a="http://schemas.openxmlformats.org/drawingml/2006/main" xmlns:pic="http://schemas.openxmlformats.org/drawingml/2006/picture">
            <wp:extent cx="4114800" cy="2971800"/>
            <wp:docPr id="2" name="Picture 2"/>
            <wp:cNvGraphicFramePr>
              <a:graphicFrameLocks noChangeAspect="1"/>
            </wp:cNvGraphicFramePr>
            <a:graphic>
              <a:graphicData uri="http://schemas.openxmlformats.org/drawingml/2006/picture">
                <pic:pic>
                  <pic:nvPicPr>
                    <pic:cNvPr id="0" name="07_roc_curve_chart.png"/>
                    <pic:cNvPicPr/>
                  </pic:nvPicPr>
                  <pic:blipFill>
                    <a:blip r:embed="rId10"/>
                    <a:stretch>
                      <a:fillRect/>
                    </a:stretch>
                  </pic:blipFill>
                  <pic:spPr>
                    <a:xfrm>
                      <a:off x="0" y="0"/>
                      <a:ext cx="4114800" cy="2971800"/>
                    </a:xfrm>
                    <a:prstGeom prst="rect"/>
                  </pic:spPr>
                </pic:pic>
              </a:graphicData>
            </a:graphic>
          </wp:inline>
        </w:drawing>
      </w:r>
    </w:p>
    <w:p>
      <w:pPr>
        <w:jc w:val="center"/>
      </w:pPr>
      <w:r>
        <w:rPr>
          <w:i/>
          <w:color w:val="6B7280"/>
          <w:sz w:val="18"/>
        </w:rPr>
        <w:t>Figure 2: Receiver Operating Characteristic (ROC) Curve (AUC = 0.845)</w:t>
      </w:r>
    </w:p>
    <w:p>
      <w:pPr>
        <w:pStyle w:val="Heading2"/>
        <w:keepNext/>
        <w:spacing w:before="280" w:after="80"/>
      </w:pPr>
      <w:r>
        <w:rPr>
          <w:rFonts w:ascii="Calibri" w:hAnsi="Calibri"/>
          <w:b/>
          <w:color w:val="2563EB"/>
          <w:sz w:val="26"/>
        </w:rPr>
        <w:t>11.3 Feature Importance &amp; Log-Odds Attribution</w:t>
      </w:r>
    </w:p>
    <w:p>
      <w:pPr>
        <w:spacing w:after="80" w:line="276" w:lineRule="auto"/>
      </w:pPr>
      <w:r>
        <w:rPr>
          <w:rFonts w:ascii="Calibri" w:hAnsi="Calibri"/>
          <w:color w:val="374151"/>
          <w:sz w:val="22"/>
        </w:rPr>
        <w:t>Analysis of learned beta coefficients reveals the predominant positive hazard drivers accelerating churn risk versus protective factors anchoring customer retention:</w:t>
      </w:r>
    </w:p>
    <w:p>
      <w:r>
        <w:drawing>
          <wp:inline xmlns:a="http://schemas.openxmlformats.org/drawingml/2006/main" xmlns:pic="http://schemas.openxmlformats.org/drawingml/2006/picture">
            <wp:extent cx="4754880" cy="2801442"/>
            <wp:docPr id="3" name="Picture 3"/>
            <wp:cNvGraphicFramePr>
              <a:graphicFrameLocks noChangeAspect="1"/>
            </wp:cNvGraphicFramePr>
            <a:graphic>
              <a:graphicData uri="http://schemas.openxmlformats.org/drawingml/2006/picture">
                <pic:pic>
                  <pic:nvPicPr>
                    <pic:cNvPr id="0" name="08_feature_importance_chart.png"/>
                    <pic:cNvPicPr/>
                  </pic:nvPicPr>
                  <pic:blipFill>
                    <a:blip r:embed="rId11"/>
                    <a:stretch>
                      <a:fillRect/>
                    </a:stretch>
                  </pic:blipFill>
                  <pic:spPr>
                    <a:xfrm>
                      <a:off x="0" y="0"/>
                      <a:ext cx="4754880" cy="2801442"/>
                    </a:xfrm>
                    <a:prstGeom prst="rect"/>
                  </pic:spPr>
                </pic:pic>
              </a:graphicData>
            </a:graphic>
          </wp:inline>
        </w:drawing>
      </w:r>
    </w:p>
    <w:p>
      <w:pPr>
        <w:jc w:val="center"/>
      </w:pPr>
      <w:r>
        <w:rPr>
          <w:i/>
          <w:color w:val="6B7280"/>
          <w:sz w:val="18"/>
        </w:rPr>
        <w:t>Figure 3: Key Churn Risk Drivers (+) vs Retention Anchors (-)</w:t>
      </w:r>
    </w:p>
    <w:p>
      <w:pPr>
        <w:pStyle w:val="Heading2"/>
        <w:keepNext/>
        <w:spacing w:before="280" w:after="80"/>
      </w:pPr>
      <w:r>
        <w:rPr>
          <w:rFonts w:ascii="Calibri" w:hAnsi="Calibri"/>
          <w:b/>
          <w:color w:val="2563EB"/>
          <w:sz w:val="26"/>
        </w:rPr>
        <w:t>11.4 Important Analytical Observations</w:t>
      </w:r>
    </w:p>
    <w:p>
      <w:pPr>
        <w:pStyle w:val="ListBullet"/>
        <w:spacing w:after="60" w:line="276" w:lineRule="auto"/>
      </w:pPr>
      <w:r>
        <w:rPr>
          <w:rFonts w:ascii="Calibri" w:hAnsi="Calibri"/>
          <w:b/>
          <w:color w:val="1F2937"/>
          <w:sz w:val="22"/>
        </w:rPr>
        <w:t xml:space="preserve">• Contract Type Sensitivity: </w:t>
      </w:r>
      <w:r>
        <w:rPr>
          <w:rFonts w:ascii="Calibri" w:hAnsi="Calibri"/>
          <w:color w:val="374151"/>
          <w:sz w:val="22"/>
        </w:rPr>
        <w:t>Month-to-month contracts (+1.28) and electronic check payments (+0.42) are the highest risk indicators. Migrating customers to 1- or 2-year contracts slashes churn by over 70%.</w:t>
      </w:r>
    </w:p>
    <w:p>
      <w:pPr>
        <w:pStyle w:val="ListBullet"/>
        <w:spacing w:after="60" w:line="276" w:lineRule="auto"/>
      </w:pPr>
      <w:r>
        <w:rPr>
          <w:rFonts w:ascii="Calibri" w:hAnsi="Calibri"/>
          <w:b/>
          <w:color w:val="1F2937"/>
          <w:sz w:val="22"/>
        </w:rPr>
        <w:t xml:space="preserve">• Service Bundling Effect: </w:t>
      </w:r>
      <w:r>
        <w:rPr>
          <w:rFonts w:ascii="Calibri" w:hAnsi="Calibri"/>
          <w:color w:val="374151"/>
          <w:sz w:val="22"/>
        </w:rPr>
        <w:t>Fiber optic customers (+0.84) churn at a 41.9% rate due to higher pricing and service sensitivity, whereas bundling Tech Support (-0.58) and Online Security (-0.46) reduces churn to 14.6%.</w:t>
      </w:r>
    </w:p>
    <w:p>
      <w:pPr>
        <w:pStyle w:val="ListBullet"/>
        <w:spacing w:after="60" w:line="276" w:lineRule="auto"/>
      </w:pPr>
      <w:r>
        <w:rPr>
          <w:rFonts w:ascii="Calibri" w:hAnsi="Calibri"/>
          <w:b/>
          <w:color w:val="1F2937"/>
          <w:sz w:val="22"/>
        </w:rPr>
        <w:t xml:space="preserve">• Tenure Compounding: </w:t>
      </w:r>
      <w:r>
        <w:rPr>
          <w:rFonts w:ascii="Calibri" w:hAnsi="Calibri"/>
          <w:color w:val="374151"/>
          <w:sz w:val="22"/>
        </w:rPr>
        <w:t>Subscribers who stay beyond 24 months (-0.62) demonstrate over 88% retention, highlighting the critical importance of early-tenure onboarding.</w:t>
      </w:r>
    </w:p>
    <w:p>
      <w:r>
        <w:br w:type="page"/>
      </w:r>
    </w:p>
    <w:p>
      <w:pPr>
        <w:pStyle w:val="Heading1"/>
        <w:keepNext/>
        <w:spacing w:before="280" w:after="80"/>
      </w:pPr>
      <w:r>
        <w:rPr>
          <w:rFonts w:ascii="Calibri" w:hAnsi="Calibri"/>
          <w:b/>
          <w:color w:val="1E3A8A"/>
          <w:sz w:val="34"/>
        </w:rPr>
        <w:t>12. System Architecture / Workflow</w:t>
      </w:r>
    </w:p>
    <w:p>
      <w:pPr>
        <w:spacing w:after="80" w:line="276" w:lineRule="auto"/>
      </w:pPr>
      <w:r>
        <w:rPr>
          <w:rFonts w:ascii="Calibri" w:hAnsi="Calibri"/>
          <w:color w:val="374151"/>
          <w:sz w:val="22"/>
        </w:rPr>
        <w:t>The TelcoPulse AI system is architected as an end-to-end reactive decision support pipeline: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12" w:space="0" w:color="CBD5E1"/>
              <w:left w:val="single" w:sz="24" w:space="0" w:color="1E3A8A"/>
              <w:bottom w:val="single" w:sz="12" w:space="0" w:color="CBD5E1"/>
              <w:right w:val="single" w:sz="12" w:space="0" w:color="CBD5E1"/>
            </w:tcBorders>
          </w:tcPr>
          <w:p>
            <w:pPr>
              <w:spacing w:after="0"/>
              <w:jc w:val="center"/>
            </w:pPr>
            <w:r>
              <w:rPr>
                <w:rFonts w:ascii="Calibri" w:hAnsi="Calibri"/>
                <w:b/>
                <w:color w:val="1E3A8A"/>
                <w:sz w:val="21"/>
              </w:rPr>
              <w:t>User / Retention Agent</w:t>
              <w:br/>
              <w:t>↓</w:t>
              <w:br/>
              <w:t>Input Data (Single Subscriber Form / Batch CSV)</w:t>
              <w:br/>
              <w:t>↓</w:t>
              <w:br/>
              <w:t>Data Preprocessing &amp; Encoding (OneHotEncoder + StandardScaler)</w:t>
              <w:br/>
              <w:t>↓</w:t>
              <w:br/>
              <w:t>Trained AI/ML Model (Optimized Logistic Regression Engine)</w:t>
              <w:br/>
              <w:t>↓</w:t>
              <w:br/>
              <w:t>Risk Probability &amp; Log-Odds Decomposition</w:t>
              <w:br/>
              <w:t>↓</w:t>
              <w:br/>
              <w:t>Interactive Dashboard Output &amp; Prescriptive Playbook</w:t>
            </w:r>
          </w:p>
        </w:tc>
      </w:tr>
    </w:tbl>
    <w:p>
      <w:pPr>
        <w:spacing w:after="60"/>
      </w:pPr>
    </w:p>
    <w:tbl>
      <w:tblPr>
        <w:tblW w:type="auto" w:w="0"/>
        <w:jc w:val="center"/>
        <w:tblLook w:firstColumn="1" w:firstRow="1" w:lastColumn="0" w:lastRow="0" w:noHBand="0" w:noVBand="1" w:val="04A0"/>
      </w:tblPr>
      <w:tblGrid>
        <w:gridCol w:w="4680"/>
        <w:gridCol w:w="4680"/>
      </w:tblGrid>
      <w:tr>
        <w:tc>
          <w:tcPr>
            <w:tcW w:type="dxa" w:w="3168"/>
            <w:shd w:fill="1E3A8A"/>
            <w:tcMar>
              <w:top w:w="100" w:type="dxa"/>
              <w:bottom w:w="100" w:type="dxa"/>
              <w:left w:w="100" w:type="dxa"/>
              <w:right w:w="100" w:type="dxa"/>
            </w:tcMar>
          </w:tcPr>
          <w:p>
            <w:pPr>
              <w:jc w:val="center"/>
            </w:pPr>
            <w:r>
              <w:rPr>
                <w:rFonts w:ascii="Calibri" w:hAnsi="Calibri"/>
                <w:b/>
                <w:color w:val="FFFFFF"/>
                <w:sz w:val="19"/>
              </w:rPr>
              <w:t>Architecture Tier</w:t>
            </w:r>
          </w:p>
        </w:tc>
        <w:tc>
          <w:tcPr>
            <w:tcW w:type="dxa" w:w="6480"/>
            <w:shd w:fill="1E3A8A"/>
            <w:tcMar>
              <w:top w:w="100" w:type="dxa"/>
              <w:bottom w:w="100" w:type="dxa"/>
              <w:left w:w="100" w:type="dxa"/>
              <w:right w:w="100" w:type="dxa"/>
            </w:tcMar>
          </w:tcPr>
          <w:p>
            <w:pPr>
              <w:jc w:val="center"/>
            </w:pPr>
            <w:r>
              <w:rPr>
                <w:rFonts w:ascii="Calibri" w:hAnsi="Calibri"/>
                <w:b/>
                <w:color w:val="FFFFFF"/>
                <w:sz w:val="19"/>
              </w:rPr>
              <w:t>Component Role &amp; Responsibilities</w:t>
            </w:r>
          </w:p>
        </w:tc>
      </w:tr>
      <w:tr>
        <w:tc>
          <w:tcPr>
            <w:tcW w:type="dxa" w:w="3168"/>
            <w:shd w:fill="FFFFFF"/>
            <w:tcMar>
              <w:top w:w="70" w:type="dxa"/>
              <w:bottom w:w="70" w:type="dxa"/>
              <w:left w:w="90" w:type="dxa"/>
              <w:right w:w="90" w:type="dxa"/>
            </w:tcMar>
          </w:tcPr>
          <w:p>
            <w:pPr>
              <w:jc w:val="left"/>
            </w:pPr>
            <w:r>
              <w:rPr>
                <w:rFonts w:ascii="Calibri" w:hAnsi="Calibri"/>
                <w:color w:val="1F2937"/>
                <w:sz w:val="18"/>
              </w:rPr>
              <w:t>Tier 1: Presentation Tier</w:t>
            </w:r>
          </w:p>
        </w:tc>
        <w:tc>
          <w:tcPr>
            <w:tcW w:type="dxa" w:w="6480"/>
            <w:shd w:fill="FFFFFF"/>
            <w:tcMar>
              <w:top w:w="70" w:type="dxa"/>
              <w:bottom w:w="70" w:type="dxa"/>
              <w:left w:w="90" w:type="dxa"/>
              <w:right w:w="90" w:type="dxa"/>
            </w:tcMar>
          </w:tcPr>
          <w:p>
            <w:pPr>
              <w:jc w:val="center"/>
            </w:pPr>
            <w:r>
              <w:rPr>
                <w:rFonts w:ascii="Calibri" w:hAnsi="Calibri"/>
                <w:color w:val="1F2937"/>
                <w:sz w:val="18"/>
              </w:rPr>
              <w:t>Streamlit UI providing Single Customer Diagnosis, What-If Strategy Simulator, Batch File Scoring, Cohort Insights, and Diagnostics.</w:t>
            </w:r>
          </w:p>
        </w:tc>
      </w:tr>
      <w:tr>
        <w:tc>
          <w:tcPr>
            <w:tcW w:type="dxa" w:w="3168"/>
            <w:shd w:fill="F8FAFC"/>
            <w:tcMar>
              <w:top w:w="70" w:type="dxa"/>
              <w:bottom w:w="70" w:type="dxa"/>
              <w:left w:w="90" w:type="dxa"/>
              <w:right w:w="90" w:type="dxa"/>
            </w:tcMar>
          </w:tcPr>
          <w:p>
            <w:pPr>
              <w:jc w:val="left"/>
            </w:pPr>
            <w:r>
              <w:rPr>
                <w:rFonts w:ascii="Calibri" w:hAnsi="Calibri"/>
                <w:color w:val="1F2937"/>
                <w:sz w:val="18"/>
              </w:rPr>
              <w:t>Tier 2: Inference &amp; Attribution Tier</w:t>
            </w:r>
          </w:p>
        </w:tc>
        <w:tc>
          <w:tcPr>
            <w:tcW w:type="dxa" w:w="6480"/>
            <w:shd w:fill="F8FAFC"/>
            <w:tcMar>
              <w:top w:w="70" w:type="dxa"/>
              <w:bottom w:w="70" w:type="dxa"/>
              <w:left w:w="90" w:type="dxa"/>
              <w:right w:w="90" w:type="dxa"/>
            </w:tcMar>
          </w:tcPr>
          <w:p>
            <w:pPr>
              <w:jc w:val="center"/>
            </w:pPr>
            <w:r>
              <w:rPr>
                <w:rFonts w:ascii="Calibri" w:hAnsi="Calibri"/>
                <w:color w:val="1F2937"/>
                <w:sz w:val="18"/>
              </w:rPr>
              <w:t>Logistic Regression Engine coupled with real-time log-odds decomposition and financial risk calculations.</w:t>
            </w:r>
          </w:p>
        </w:tc>
      </w:tr>
      <w:tr>
        <w:tc>
          <w:tcPr>
            <w:tcW w:type="dxa" w:w="3168"/>
            <w:shd w:fill="FFFFFF"/>
            <w:tcMar>
              <w:top w:w="70" w:type="dxa"/>
              <w:bottom w:w="70" w:type="dxa"/>
              <w:left w:w="90" w:type="dxa"/>
              <w:right w:w="90" w:type="dxa"/>
            </w:tcMar>
          </w:tcPr>
          <w:p>
            <w:pPr>
              <w:jc w:val="left"/>
            </w:pPr>
            <w:r>
              <w:rPr>
                <w:rFonts w:ascii="Calibri" w:hAnsi="Calibri"/>
                <w:color w:val="1F2937"/>
                <w:sz w:val="18"/>
              </w:rPr>
              <w:t>Tier 3: Preprocessing &amp; Serialization</w:t>
            </w:r>
          </w:p>
        </w:tc>
        <w:tc>
          <w:tcPr>
            <w:tcW w:type="dxa" w:w="6480"/>
            <w:shd w:fill="FFFFFF"/>
            <w:tcMar>
              <w:top w:w="70" w:type="dxa"/>
              <w:bottom w:w="70" w:type="dxa"/>
              <w:left w:w="90" w:type="dxa"/>
              <w:right w:w="90" w:type="dxa"/>
            </w:tcMar>
          </w:tcPr>
          <w:p>
            <w:pPr>
              <w:jc w:val="center"/>
            </w:pPr>
            <w:r>
              <w:rPr>
                <w:rFonts w:ascii="Calibri" w:hAnsi="Calibri"/>
                <w:color w:val="1F2937"/>
                <w:sz w:val="18"/>
              </w:rPr>
              <w:t>StandardScaler and OneHotEncoder pipelines loaded from serialized joblib artifacts.</w:t>
            </w:r>
          </w:p>
        </w:tc>
      </w:tr>
      <w:tr>
        <w:tc>
          <w:tcPr>
            <w:tcW w:type="dxa" w:w="3168"/>
            <w:shd w:fill="F8FAFC"/>
            <w:tcMar>
              <w:top w:w="70" w:type="dxa"/>
              <w:bottom w:w="70" w:type="dxa"/>
              <w:left w:w="90" w:type="dxa"/>
              <w:right w:w="90" w:type="dxa"/>
            </w:tcMar>
          </w:tcPr>
          <w:p>
            <w:pPr>
              <w:jc w:val="left"/>
            </w:pPr>
            <w:r>
              <w:rPr>
                <w:rFonts w:ascii="Calibri" w:hAnsi="Calibri"/>
                <w:color w:val="1F2937"/>
                <w:sz w:val="18"/>
              </w:rPr>
              <w:t>Tier 4: Data &amp; Export Tier</w:t>
            </w:r>
          </w:p>
        </w:tc>
        <w:tc>
          <w:tcPr>
            <w:tcW w:type="dxa" w:w="6480"/>
            <w:shd w:fill="F8FAFC"/>
            <w:tcMar>
              <w:top w:w="70" w:type="dxa"/>
              <w:bottom w:w="70" w:type="dxa"/>
              <w:left w:w="90" w:type="dxa"/>
              <w:right w:w="90" w:type="dxa"/>
            </w:tcMar>
          </w:tcPr>
          <w:p>
            <w:pPr>
              <w:jc w:val="center"/>
            </w:pPr>
            <w:r>
              <w:rPr>
                <w:rFonts w:ascii="Calibri" w:hAnsi="Calibri"/>
                <w:color w:val="1F2937"/>
                <w:sz w:val="18"/>
              </w:rPr>
              <w:t>Telco Customer CSV store, Batch Scoring Priority Queues, and 1-click campaign CSV export.</w:t>
            </w:r>
          </w:p>
        </w:tc>
      </w:tr>
    </w:tbl>
    <w:p>
      <w:pPr>
        <w:pStyle w:val="Heading1"/>
        <w:keepNext/>
        <w:spacing w:before="280" w:after="80"/>
      </w:pPr>
      <w:r>
        <w:rPr>
          <w:rFonts w:ascii="Calibri" w:hAnsi="Calibri"/>
          <w:b/>
          <w:color w:val="1E3A8A"/>
          <w:sz w:val="34"/>
        </w:rPr>
        <w:t>13. Implementation</w:t>
      </w:r>
    </w:p>
    <w:p>
      <w:pPr>
        <w:spacing w:after="80" w:line="276" w:lineRule="auto"/>
      </w:pPr>
      <w:r>
        <w:rPr>
          <w:rFonts w:ascii="Calibri" w:hAnsi="Calibri"/>
          <w:color w:val="374151"/>
          <w:sz w:val="22"/>
        </w:rPr>
        <w:t>The technical implementation details of the software stack are structured as follows:</w:t>
      </w:r>
    </w:p>
    <w:p>
      <w:pPr>
        <w:pStyle w:val="ListBullet"/>
        <w:spacing w:after="60" w:line="276" w:lineRule="auto"/>
      </w:pPr>
      <w:r>
        <w:rPr>
          <w:rFonts w:ascii="Calibri" w:hAnsi="Calibri"/>
          <w:b/>
          <w:color w:val="1F2937"/>
          <w:sz w:val="22"/>
        </w:rPr>
        <w:t xml:space="preserve">• Programming Language: </w:t>
      </w:r>
      <w:r>
        <w:rPr>
          <w:rFonts w:ascii="Calibri" w:hAnsi="Calibri"/>
          <w:color w:val="374151"/>
          <w:sz w:val="22"/>
        </w:rPr>
        <w:t>Python 3.10+ (Primary computational and web backend language).</w:t>
      </w:r>
    </w:p>
    <w:p>
      <w:pPr>
        <w:pStyle w:val="ListBullet"/>
        <w:spacing w:after="60" w:line="276" w:lineRule="auto"/>
      </w:pPr>
      <w:r>
        <w:rPr>
          <w:rFonts w:ascii="Calibri" w:hAnsi="Calibri"/>
          <w:b/>
          <w:color w:val="1F2937"/>
          <w:sz w:val="22"/>
        </w:rPr>
        <w:t xml:space="preserve">• Frameworks: </w:t>
      </w:r>
      <w:r>
        <w:rPr>
          <w:rFonts w:ascii="Calibri" w:hAnsi="Calibri"/>
          <w:color w:val="374151"/>
          <w:sz w:val="22"/>
        </w:rPr>
        <w:t>Streamlit 1.30+ (Reactive web UI framework) and Scikit-learn 1.3+ (Machine learning framework).</w:t>
      </w:r>
    </w:p>
    <w:p>
      <w:pPr>
        <w:pStyle w:val="ListBullet"/>
        <w:spacing w:after="60" w:line="276" w:lineRule="auto"/>
      </w:pPr>
      <w:r>
        <w:rPr>
          <w:rFonts w:ascii="Calibri" w:hAnsi="Calibri"/>
          <w:b/>
          <w:color w:val="1F2937"/>
          <w:sz w:val="22"/>
        </w:rPr>
        <w:t xml:space="preserve">• Libraries: </w:t>
      </w:r>
      <w:r>
        <w:rPr>
          <w:rFonts w:ascii="Calibri" w:hAnsi="Calibri"/>
          <w:color w:val="374151"/>
          <w:sz w:val="22"/>
        </w:rPr>
        <w:t>Pandas (tabular wrangling), NumPy (vectorization), Plotly (interactive gauges &amp; waterfall charts), Matplotlib (report figure rendering), Joblib (artifact serialization), Python-Docx (automated documentation engine).</w:t>
      </w:r>
    </w:p>
    <w:p>
      <w:pPr>
        <w:pStyle w:val="ListBullet"/>
        <w:spacing w:after="60" w:line="276" w:lineRule="auto"/>
      </w:pPr>
      <w:r>
        <w:rPr>
          <w:rFonts w:ascii="Calibri" w:hAnsi="Calibri"/>
          <w:b/>
          <w:color w:val="1F2937"/>
          <w:sz w:val="22"/>
        </w:rPr>
        <w:t xml:space="preserve">• Development Environment: </w:t>
      </w:r>
      <w:r>
        <w:rPr>
          <w:rFonts w:ascii="Calibri" w:hAnsi="Calibri"/>
          <w:color w:val="374151"/>
          <w:sz w:val="22"/>
        </w:rPr>
        <w:t>Visual Studio Code / Antigravity Agentic IDE on Windows 11.</w:t>
      </w:r>
    </w:p>
    <w:p>
      <w:pPr>
        <w:pStyle w:val="ListBullet"/>
        <w:spacing w:after="60" w:line="276" w:lineRule="auto"/>
      </w:pPr>
      <w:r>
        <w:rPr>
          <w:rFonts w:ascii="Calibri" w:hAnsi="Calibri"/>
          <w:b/>
          <w:color w:val="1F2937"/>
          <w:sz w:val="22"/>
        </w:rPr>
        <w:t xml:space="preserve">• Database / Storage: </w:t>
      </w:r>
      <w:r>
        <w:rPr>
          <w:rFonts w:ascii="Calibri" w:hAnsi="Calibri"/>
          <w:color w:val="374151"/>
          <w:sz w:val="22"/>
        </w:rPr>
        <w:t>Structured CSV Datastore with serialized Joblib model and transformer pickles.</w:t>
      </w:r>
    </w:p>
    <w:p>
      <w:pPr>
        <w:pStyle w:val="ListBullet"/>
        <w:spacing w:after="60" w:line="276" w:lineRule="auto"/>
      </w:pPr>
      <w:r>
        <w:rPr>
          <w:rFonts w:ascii="Calibri" w:hAnsi="Calibri"/>
          <w:b/>
          <w:color w:val="1F2937"/>
          <w:sz w:val="22"/>
        </w:rPr>
        <w:t xml:space="preserve">• Deployment Platform: </w:t>
      </w:r>
      <w:r>
        <w:rPr>
          <w:rFonts w:ascii="Calibri" w:hAnsi="Calibri"/>
          <w:color w:val="374151"/>
          <w:sz w:val="22"/>
        </w:rPr>
        <w:t>Streamlit Community Cloud (Continuous integration with GitHub repository).</w:t>
      </w:r>
    </w:p>
    <w:p>
      <w:r>
        <w:br w:type="page"/>
      </w:r>
    </w:p>
    <w:p>
      <w:pPr>
        <w:pStyle w:val="Heading1"/>
        <w:keepNext/>
        <w:spacing w:before="280" w:after="80"/>
      </w:pPr>
      <w:r>
        <w:rPr>
          <w:rFonts w:ascii="Calibri" w:hAnsi="Calibri"/>
          <w:b/>
          <w:color w:val="1E3A8A"/>
          <w:sz w:val="34"/>
        </w:rPr>
        <w:t>14. User Interface / Application Screenshots</w:t>
      </w:r>
    </w:p>
    <w:p>
      <w:pPr>
        <w:spacing w:after="80" w:line="276" w:lineRule="auto"/>
      </w:pPr>
      <w:r>
        <w:rPr>
          <w:rFonts w:ascii="Calibri" w:hAnsi="Calibri"/>
          <w:color w:val="374151"/>
          <w:sz w:val="22"/>
        </w:rPr>
        <w:t>The TelcoPulse AI production web application (deployed live at https://telecomcustomers.streamlit.app/) includes six dedicated operational modules:</w:t>
      </w:r>
    </w:p>
    <w:p>
      <w:pPr>
        <w:pStyle w:val="Heading2"/>
        <w:keepNext/>
        <w:spacing w:before="280" w:after="80"/>
      </w:pPr>
      <w:r>
        <w:rPr>
          <w:rFonts w:ascii="Calibri" w:hAnsi="Calibri"/>
          <w:b/>
          <w:color w:val="2563EB"/>
          <w:sz w:val="26"/>
        </w:rPr>
        <w:t>Figure 4: Single Customer Risk Diagnosis &amp; Speedometer Gauge</w:t>
      </w:r>
    </w:p>
    <w:p>
      <w:pPr>
        <w:spacing w:after="80" w:line="276" w:lineRule="auto"/>
      </w:pPr>
      <w:r>
        <w:rPr>
          <w:rFonts w:ascii="Calibri" w:hAnsi="Calibri"/>
          <w:color w:val="374151"/>
          <w:sz w:val="22"/>
        </w:rPr>
        <w:t>Features an interactive risk speedometer (Safe &lt;30%, Moderate 30-60%, Critical &gt;60%), annual financial exposure calculation ($/year), local log-odds driver attribution waterfall, and AI-recommended prescriptive retention playbooks.</w:t>
      </w:r>
    </w:p>
    <w:p>
      <w:r>
        <w:drawing>
          <wp:inline xmlns:a="http://schemas.openxmlformats.org/drawingml/2006/main" xmlns:pic="http://schemas.openxmlformats.org/drawingml/2006/picture">
            <wp:extent cx="5486400" cy="3593780"/>
            <wp:docPr id="4" name="Picture 4"/>
            <wp:cNvGraphicFramePr>
              <a:graphicFrameLocks noChangeAspect="1"/>
            </wp:cNvGraphicFramePr>
            <a:graphic>
              <a:graphicData uri="http://schemas.openxmlformats.org/drawingml/2006/picture">
                <pic:pic>
                  <pic:nvPicPr>
                    <pic:cNvPr id="0" name="01_single_customer_diagnosis.png"/>
                    <pic:cNvPicPr/>
                  </pic:nvPicPr>
                  <pic:blipFill>
                    <a:blip r:embed="rId12"/>
                    <a:stretch>
                      <a:fillRect/>
                    </a:stretch>
                  </pic:blipFill>
                  <pic:spPr>
                    <a:xfrm>
                      <a:off x="0" y="0"/>
                      <a:ext cx="5486400" cy="3593780"/>
                    </a:xfrm>
                    <a:prstGeom prst="rect"/>
                  </pic:spPr>
                </pic:pic>
              </a:graphicData>
            </a:graphic>
          </wp:inline>
        </w:drawing>
      </w:r>
    </w:p>
    <w:p>
      <w:pPr>
        <w:spacing w:after="280"/>
        <w:jc w:val="center"/>
      </w:pPr>
      <w:r>
        <w:rPr>
          <w:rFonts w:ascii="Calibri" w:hAnsi="Calibri"/>
          <w:i/>
          <w:color w:val="6B7280"/>
          <w:sz w:val="18"/>
        </w:rPr>
        <w:t>Figure 4: Single Customer Risk Diagnosis &amp; Speedometer Gauge</w:t>
      </w:r>
    </w:p>
    <w:p>
      <w:pPr>
        <w:pStyle w:val="Heading2"/>
        <w:keepNext/>
        <w:spacing w:before="280" w:after="80"/>
      </w:pPr>
      <w:r>
        <w:rPr>
          <w:rFonts w:ascii="Calibri" w:hAnsi="Calibri"/>
          <w:b/>
          <w:color w:val="2563EB"/>
          <w:sz w:val="26"/>
        </w:rPr>
        <w:t>Figure 5: ✨ GenAI Customer Retention Copilot Interface</w:t>
      </w:r>
    </w:p>
    <w:p>
      <w:pPr>
        <w:spacing w:after="80" w:line="276" w:lineRule="auto"/>
      </w:pPr>
      <w:r>
        <w:rPr>
          <w:rFonts w:ascii="Calibri" w:hAnsi="Calibri"/>
          <w:color w:val="374151"/>
          <w:sz w:val="22"/>
        </w:rPr>
        <w:t>Features prompt orchestration, multi-angle stochastic reasoning, Creativity/Temperature slider (0.2–1.0), and 4 generated retention assets: personalized win-back emails, frontline agent call scripts, concession hierarchy, and CRM JSON payload.</w:t>
      </w:r>
    </w:p>
    <w:p>
      <w:r>
        <w:drawing>
          <wp:inline xmlns:a="http://schemas.openxmlformats.org/drawingml/2006/main" xmlns:pic="http://schemas.openxmlformats.org/drawingml/2006/picture">
            <wp:extent cx="5486400" cy="3593780"/>
            <wp:docPr id="5" name="Picture 5"/>
            <wp:cNvGraphicFramePr>
              <a:graphicFrameLocks noChangeAspect="1"/>
            </wp:cNvGraphicFramePr>
            <a:graphic>
              <a:graphicData uri="http://schemas.openxmlformats.org/drawingml/2006/picture">
                <pic:pic>
                  <pic:nvPicPr>
                    <pic:cNvPr id="0" name="10_genai_copilot_ui.png"/>
                    <pic:cNvPicPr/>
                  </pic:nvPicPr>
                  <pic:blipFill>
                    <a:blip r:embed="rId13"/>
                    <a:stretch>
                      <a:fillRect/>
                    </a:stretch>
                  </pic:blipFill>
                  <pic:spPr>
                    <a:xfrm>
                      <a:off x="0" y="0"/>
                      <a:ext cx="5486400" cy="3593780"/>
                    </a:xfrm>
                    <a:prstGeom prst="rect"/>
                  </pic:spPr>
                </pic:pic>
              </a:graphicData>
            </a:graphic>
          </wp:inline>
        </w:drawing>
      </w:r>
    </w:p>
    <w:p>
      <w:pPr>
        <w:spacing w:after="280"/>
        <w:jc w:val="center"/>
      </w:pPr>
      <w:r>
        <w:rPr>
          <w:rFonts w:ascii="Calibri" w:hAnsi="Calibri"/>
          <w:i/>
          <w:color w:val="6B7280"/>
          <w:sz w:val="18"/>
        </w:rPr>
        <w:t>Figure 5: ✨ GenAI Customer Retention Copilot Interface</w:t>
      </w:r>
    </w:p>
    <w:p>
      <w:pPr>
        <w:pStyle w:val="Heading2"/>
        <w:keepNext/>
        <w:spacing w:before="280" w:after="80"/>
      </w:pPr>
      <w:r>
        <w:rPr>
          <w:rFonts w:ascii="Calibri" w:hAnsi="Calibri"/>
          <w:b/>
          <w:color w:val="2563EB"/>
          <w:sz w:val="26"/>
        </w:rPr>
        <w:t>Figure 6: What-If Retention Strategy Simulator</w:t>
      </w:r>
    </w:p>
    <w:p>
      <w:pPr>
        <w:spacing w:after="80" w:line="276" w:lineRule="auto"/>
      </w:pPr>
      <w:r>
        <w:rPr>
          <w:rFonts w:ascii="Calibri" w:hAnsi="Calibri"/>
          <w:color w:val="374151"/>
          <w:sz w:val="22"/>
        </w:rPr>
        <w:t>Enables customer service agents to test contract extensions, technical support bundles, and billing discounts to simulate risk reduction in real time before pitching counter-offers.</w:t>
      </w:r>
    </w:p>
    <w:p>
      <w:r>
        <w:drawing>
          <wp:inline xmlns:a="http://schemas.openxmlformats.org/drawingml/2006/main" xmlns:pic="http://schemas.openxmlformats.org/drawingml/2006/picture">
            <wp:extent cx="5486400" cy="3593780"/>
            <wp:docPr id="6" name="Picture 6"/>
            <wp:cNvGraphicFramePr>
              <a:graphicFrameLocks noChangeAspect="1"/>
            </wp:cNvGraphicFramePr>
            <a:graphic>
              <a:graphicData uri="http://schemas.openxmlformats.org/drawingml/2006/picture">
                <pic:pic>
                  <pic:nvPicPr>
                    <pic:cNvPr id="0" name="02_what_if_sandbox.png"/>
                    <pic:cNvPicPr/>
                  </pic:nvPicPr>
                  <pic:blipFill>
                    <a:blip r:embed="rId14"/>
                    <a:stretch>
                      <a:fillRect/>
                    </a:stretch>
                  </pic:blipFill>
                  <pic:spPr>
                    <a:xfrm>
                      <a:off x="0" y="0"/>
                      <a:ext cx="5486400" cy="3593780"/>
                    </a:xfrm>
                    <a:prstGeom prst="rect"/>
                  </pic:spPr>
                </pic:pic>
              </a:graphicData>
            </a:graphic>
          </wp:inline>
        </w:drawing>
      </w:r>
    </w:p>
    <w:p>
      <w:pPr>
        <w:spacing w:after="280"/>
        <w:jc w:val="center"/>
      </w:pPr>
      <w:r>
        <w:rPr>
          <w:rFonts w:ascii="Calibri" w:hAnsi="Calibri"/>
          <w:i/>
          <w:color w:val="6B7280"/>
          <w:sz w:val="18"/>
        </w:rPr>
        <w:t>Figure 6: What-If Retention Strategy Simulator</w:t>
      </w:r>
    </w:p>
    <w:p>
      <w:pPr>
        <w:pStyle w:val="Heading2"/>
        <w:keepNext/>
        <w:spacing w:before="280" w:after="80"/>
      </w:pPr>
      <w:r>
        <w:rPr>
          <w:rFonts w:ascii="Calibri" w:hAnsi="Calibri"/>
          <w:b/>
          <w:color w:val="2563EB"/>
          <w:sz w:val="26"/>
        </w:rPr>
        <w:t>Figure 7: Batch Cohort Scoring &amp; Prioritized Action Queue</w:t>
      </w:r>
    </w:p>
    <w:p>
      <w:pPr>
        <w:spacing w:after="80" w:line="276" w:lineRule="auto"/>
      </w:pPr>
      <w:r>
        <w:rPr>
          <w:rFonts w:ascii="Calibri" w:hAnsi="Calibri"/>
          <w:color w:val="374151"/>
          <w:sz w:val="22"/>
        </w:rPr>
        <w:t>Scores entire subscriber rosters (.csv), ranks accounts by expected annual financial loss, and generates downloadable prioritized campaign lists for targeted marketing outreach.</w:t>
      </w:r>
    </w:p>
    <w:p>
      <w:r>
        <w:drawing>
          <wp:inline xmlns:a="http://schemas.openxmlformats.org/drawingml/2006/main" xmlns:pic="http://schemas.openxmlformats.org/drawingml/2006/picture">
            <wp:extent cx="5486400" cy="3593780"/>
            <wp:docPr id="7" name="Picture 7"/>
            <wp:cNvGraphicFramePr>
              <a:graphicFrameLocks noChangeAspect="1"/>
            </wp:cNvGraphicFramePr>
            <a:graphic>
              <a:graphicData uri="http://schemas.openxmlformats.org/drawingml/2006/picture">
                <pic:pic>
                  <pic:nvPicPr>
                    <pic:cNvPr id="0" name="03_batch_scoring_queue.png"/>
                    <pic:cNvPicPr/>
                  </pic:nvPicPr>
                  <pic:blipFill>
                    <a:blip r:embed="rId15"/>
                    <a:stretch>
                      <a:fillRect/>
                    </a:stretch>
                  </pic:blipFill>
                  <pic:spPr>
                    <a:xfrm>
                      <a:off x="0" y="0"/>
                      <a:ext cx="5486400" cy="3593780"/>
                    </a:xfrm>
                    <a:prstGeom prst="rect"/>
                  </pic:spPr>
                </pic:pic>
              </a:graphicData>
            </a:graphic>
          </wp:inline>
        </w:drawing>
      </w:r>
    </w:p>
    <w:p>
      <w:pPr>
        <w:spacing w:after="280"/>
        <w:jc w:val="center"/>
      </w:pPr>
      <w:r>
        <w:rPr>
          <w:rFonts w:ascii="Calibri" w:hAnsi="Calibri"/>
          <w:i/>
          <w:color w:val="6B7280"/>
          <w:sz w:val="18"/>
        </w:rPr>
        <w:t>Figure 7: Batch Cohort Scoring &amp; Prioritized Action Queue</w:t>
      </w:r>
    </w:p>
    <w:p>
      <w:pPr>
        <w:pStyle w:val="Heading2"/>
        <w:keepNext/>
        <w:spacing w:before="280" w:after="80"/>
      </w:pPr>
      <w:r>
        <w:rPr>
          <w:rFonts w:ascii="Calibri" w:hAnsi="Calibri"/>
          <w:b/>
          <w:color w:val="2563EB"/>
          <w:sz w:val="26"/>
        </w:rPr>
        <w:t>Figure 8: Executive Cohort Analytics &amp; Macro EDA</w:t>
      </w:r>
    </w:p>
    <w:p>
      <w:pPr>
        <w:spacing w:after="80" w:line="276" w:lineRule="auto"/>
      </w:pPr>
      <w:r>
        <w:rPr>
          <w:rFonts w:ascii="Calibri" w:hAnsi="Calibri"/>
          <w:color w:val="374151"/>
          <w:sz w:val="22"/>
        </w:rPr>
        <w:t>Presents macro-level retention insights across contract types, payment methods, monthly charges distribution, and tech support adoption.</w:t>
      </w:r>
    </w:p>
    <w:p>
      <w:r>
        <w:drawing>
          <wp:inline xmlns:a="http://schemas.openxmlformats.org/drawingml/2006/main" xmlns:pic="http://schemas.openxmlformats.org/drawingml/2006/picture">
            <wp:extent cx="5486400" cy="3593780"/>
            <wp:docPr id="8" name="Picture 8"/>
            <wp:cNvGraphicFramePr>
              <a:graphicFrameLocks noChangeAspect="1"/>
            </wp:cNvGraphicFramePr>
            <a:graphic>
              <a:graphicData uri="http://schemas.openxmlformats.org/drawingml/2006/picture">
                <pic:pic>
                  <pic:nvPicPr>
                    <pic:cNvPr id="0" name="04_executive_cohort_insights.png"/>
                    <pic:cNvPicPr/>
                  </pic:nvPicPr>
                  <pic:blipFill>
                    <a:blip r:embed="rId16"/>
                    <a:stretch>
                      <a:fillRect/>
                    </a:stretch>
                  </pic:blipFill>
                  <pic:spPr>
                    <a:xfrm>
                      <a:off x="0" y="0"/>
                      <a:ext cx="5486400" cy="3593780"/>
                    </a:xfrm>
                    <a:prstGeom prst="rect"/>
                  </pic:spPr>
                </pic:pic>
              </a:graphicData>
            </a:graphic>
          </wp:inline>
        </w:drawing>
      </w:r>
    </w:p>
    <w:p>
      <w:pPr>
        <w:spacing w:after="280"/>
        <w:jc w:val="center"/>
      </w:pPr>
      <w:r>
        <w:rPr>
          <w:rFonts w:ascii="Calibri" w:hAnsi="Calibri"/>
          <w:i/>
          <w:color w:val="6B7280"/>
          <w:sz w:val="18"/>
        </w:rPr>
        <w:t>Figure 8: Executive Cohort Analytics &amp; Macro EDA</w:t>
      </w:r>
    </w:p>
    <w:p>
      <w:pPr>
        <w:pStyle w:val="Heading2"/>
        <w:keepNext/>
        <w:spacing w:before="280" w:after="80"/>
      </w:pPr>
      <w:r>
        <w:rPr>
          <w:rFonts w:ascii="Calibri" w:hAnsi="Calibri"/>
          <w:b/>
          <w:color w:val="2563EB"/>
          <w:sz w:val="26"/>
        </w:rPr>
        <w:t>Figure 9: Model Transparency &amp; Global Feature Importance</w:t>
      </w:r>
    </w:p>
    <w:p>
      <w:pPr>
        <w:spacing w:after="80" w:line="276" w:lineRule="auto"/>
      </w:pPr>
      <w:r>
        <w:rPr>
          <w:rFonts w:ascii="Calibri" w:hAnsi="Calibri"/>
          <w:color w:val="374151"/>
          <w:sz w:val="22"/>
        </w:rPr>
        <w:t>Provides complete transparency into pipeline architecture, preprocessing parameters, and global beta coefficients.</w:t>
      </w:r>
    </w:p>
    <w:p>
      <w:r>
        <w:drawing>
          <wp:inline xmlns:a="http://schemas.openxmlformats.org/drawingml/2006/main" xmlns:pic="http://schemas.openxmlformats.org/drawingml/2006/picture">
            <wp:extent cx="5486400" cy="3593780"/>
            <wp:docPr id="9" name="Picture 9"/>
            <wp:cNvGraphicFramePr>
              <a:graphicFrameLocks noChangeAspect="1"/>
            </wp:cNvGraphicFramePr>
            <a:graphic>
              <a:graphicData uri="http://schemas.openxmlformats.org/drawingml/2006/picture">
                <pic:pic>
                  <pic:nvPicPr>
                    <pic:cNvPr id="0" name="05_model_diagnostics.png"/>
                    <pic:cNvPicPr/>
                  </pic:nvPicPr>
                  <pic:blipFill>
                    <a:blip r:embed="rId17"/>
                    <a:stretch>
                      <a:fillRect/>
                    </a:stretch>
                  </pic:blipFill>
                  <pic:spPr>
                    <a:xfrm>
                      <a:off x="0" y="0"/>
                      <a:ext cx="5486400" cy="3593780"/>
                    </a:xfrm>
                    <a:prstGeom prst="rect"/>
                  </pic:spPr>
                </pic:pic>
              </a:graphicData>
            </a:graphic>
          </wp:inline>
        </w:drawing>
      </w:r>
    </w:p>
    <w:p>
      <w:pPr>
        <w:spacing w:after="280"/>
        <w:jc w:val="center"/>
      </w:pPr>
      <w:r>
        <w:rPr>
          <w:rFonts w:ascii="Calibri" w:hAnsi="Calibri"/>
          <w:i/>
          <w:color w:val="6B7280"/>
          <w:sz w:val="18"/>
        </w:rPr>
        <w:t>Figure 9: Model Transparency &amp; Global Feature Importance</w:t>
      </w:r>
    </w:p>
    <w:p>
      <w:r>
        <w:br w:type="page"/>
      </w:r>
    </w:p>
    <w:p>
      <w:pPr>
        <w:pStyle w:val="Heading1"/>
        <w:keepNext/>
        <w:spacing w:before="280" w:after="80"/>
      </w:pPr>
      <w:r>
        <w:rPr>
          <w:rFonts w:ascii="Calibri" w:hAnsi="Calibri"/>
          <w:b/>
          <w:color w:val="1E3A8A"/>
          <w:sz w:val="34"/>
        </w:rPr>
        <w:t>15. Challenges and Limitations</w:t>
      </w:r>
    </w:p>
    <w:p>
      <w:pPr>
        <w:pStyle w:val="Heading2"/>
        <w:keepNext/>
        <w:spacing w:before="280" w:after="80"/>
      </w:pPr>
      <w:r>
        <w:rPr>
          <w:rFonts w:ascii="Calibri" w:hAnsi="Calibri"/>
          <w:b/>
          <w:color w:val="2563EB"/>
          <w:sz w:val="26"/>
        </w:rPr>
        <w:t>15.1 Challenges Encountered</w:t>
      </w:r>
    </w:p>
    <w:p>
      <w:pPr>
        <w:pStyle w:val="ListBullet"/>
        <w:spacing w:after="60" w:line="276" w:lineRule="auto"/>
      </w:pPr>
      <w:r>
        <w:rPr>
          <w:rFonts w:ascii="Calibri" w:hAnsi="Calibri"/>
          <w:b/>
          <w:color w:val="1F2937"/>
          <w:sz w:val="22"/>
        </w:rPr>
        <w:t xml:space="preserve">• Data Quality &amp; Missing Values: </w:t>
      </w:r>
      <w:r>
        <w:rPr>
          <w:rFonts w:ascii="Calibri" w:hAnsi="Calibri"/>
          <w:color w:val="374151"/>
          <w:sz w:val="22"/>
        </w:rPr>
        <w:t>Handling whitespace anomalies in TotalCharges and ensuring clean data conversions without record loss.</w:t>
      </w:r>
    </w:p>
    <w:p>
      <w:pPr>
        <w:pStyle w:val="ListBullet"/>
        <w:spacing w:after="60" w:line="276" w:lineRule="auto"/>
      </w:pPr>
      <w:r>
        <w:rPr>
          <w:rFonts w:ascii="Calibri" w:hAnsi="Calibri"/>
          <w:b/>
          <w:color w:val="1F2937"/>
          <w:sz w:val="22"/>
        </w:rPr>
        <w:t xml:space="preserve">• Class Imbalance: </w:t>
      </w:r>
      <w:r>
        <w:rPr>
          <w:rFonts w:ascii="Calibri" w:hAnsi="Calibri"/>
          <w:color w:val="374151"/>
          <w:sz w:val="22"/>
        </w:rPr>
        <w:t>The dataset contains an inherent 73.5% vs. 26.5% non-churn vs. churn imbalance, resolved using stratified sampling and threshold calibration.</w:t>
      </w:r>
    </w:p>
    <w:p>
      <w:pPr>
        <w:pStyle w:val="ListBullet"/>
        <w:spacing w:after="60" w:line="276" w:lineRule="auto"/>
      </w:pPr>
      <w:r>
        <w:rPr>
          <w:rFonts w:ascii="Calibri" w:hAnsi="Calibri"/>
          <w:b/>
          <w:color w:val="1F2937"/>
          <w:sz w:val="22"/>
        </w:rPr>
        <w:t xml:space="preserve">• Model Selection Trade-off: </w:t>
      </w:r>
      <w:r>
        <w:rPr>
          <w:rFonts w:ascii="Calibri" w:hAnsi="Calibri"/>
          <w:color w:val="374151"/>
          <w:sz w:val="22"/>
        </w:rPr>
        <w:t>Selecting an architecture that balances high predictive accuracy with immediate log-odds explainability for non-technical agents.</w:t>
      </w:r>
    </w:p>
    <w:p>
      <w:pPr>
        <w:pStyle w:val="ListBullet"/>
        <w:spacing w:after="60" w:line="276" w:lineRule="auto"/>
      </w:pPr>
      <w:r>
        <w:rPr>
          <w:rFonts w:ascii="Calibri" w:hAnsi="Calibri"/>
          <w:b/>
          <w:color w:val="1F2937"/>
          <w:sz w:val="22"/>
        </w:rPr>
        <w:t xml:space="preserve">• High Dimensionality &amp; Collinearity: </w:t>
      </w:r>
      <w:r>
        <w:rPr>
          <w:rFonts w:ascii="Calibri" w:hAnsi="Calibri"/>
          <w:color w:val="374151"/>
          <w:sz w:val="22"/>
        </w:rPr>
        <w:t>Transforming 16 categorical features created a 41-dimensional sparse space, requiring L2 Ridge regularization to prevent overfitting.</w:t>
      </w:r>
    </w:p>
    <w:p>
      <w:pPr>
        <w:pStyle w:val="Heading2"/>
        <w:keepNext/>
        <w:spacing w:before="280" w:after="80"/>
      </w:pPr>
      <w:r>
        <w:rPr>
          <w:rFonts w:ascii="Calibri" w:hAnsi="Calibri"/>
          <w:b/>
          <w:color w:val="2563EB"/>
          <w:sz w:val="26"/>
        </w:rPr>
        <w:t>15.2 System Limitations</w:t>
      </w:r>
    </w:p>
    <w:p>
      <w:pPr>
        <w:pStyle w:val="ListBullet"/>
        <w:spacing w:after="60" w:line="276" w:lineRule="auto"/>
      </w:pPr>
      <w:r>
        <w:rPr>
          <w:rFonts w:ascii="Calibri" w:hAnsi="Calibri"/>
          <w:b/>
          <w:color w:val="1F2937"/>
          <w:sz w:val="22"/>
        </w:rPr>
        <w:t xml:space="preserve">• Dataset Size &amp; Static Telemetry: </w:t>
      </w:r>
      <w:r>
        <w:rPr>
          <w:rFonts w:ascii="Calibri" w:hAnsi="Calibri"/>
          <w:color w:val="374151"/>
          <w:sz w:val="22"/>
        </w:rPr>
        <w:t>The model is trained on a 7,043-record cross-sectional snapshot, which limits its ability to observe macroeconomic trends.</w:t>
      </w:r>
    </w:p>
    <w:p>
      <w:pPr>
        <w:pStyle w:val="ListBullet"/>
        <w:spacing w:after="60" w:line="276" w:lineRule="auto"/>
      </w:pPr>
      <w:r>
        <w:rPr>
          <w:rFonts w:ascii="Calibri" w:hAnsi="Calibri"/>
          <w:b/>
          <w:color w:val="1F2937"/>
          <w:sz w:val="22"/>
        </w:rPr>
        <w:t xml:space="preserve">• Model Precision-Recall Trade-offs: </w:t>
      </w:r>
      <w:r>
        <w:rPr>
          <w:rFonts w:ascii="Calibri" w:hAnsi="Calibri"/>
          <w:color w:val="374151"/>
          <w:sz w:val="22"/>
        </w:rPr>
        <w:t>While 80.5% accuracy is high, false negatives (165 churners missed) indicate that unobserved real-world factors influence defection.</w:t>
      </w:r>
    </w:p>
    <w:p>
      <w:pPr>
        <w:pStyle w:val="ListBullet"/>
        <w:spacing w:after="60" w:line="276" w:lineRule="auto"/>
      </w:pPr>
      <w:r>
        <w:rPr>
          <w:rFonts w:ascii="Calibri" w:hAnsi="Calibri"/>
          <w:b/>
          <w:color w:val="1F2937"/>
          <w:sz w:val="22"/>
        </w:rPr>
        <w:t xml:space="preserve">• Limited Behavioral Features: </w:t>
      </w:r>
      <w:r>
        <w:rPr>
          <w:rFonts w:ascii="Calibri" w:hAnsi="Calibri"/>
          <w:color w:val="374151"/>
          <w:sz w:val="22"/>
        </w:rPr>
        <w:t>Customer service tickets, network call-drop frequency, and competitor promotional offers are not present in the dataset.</w:t>
      </w:r>
    </w:p>
    <w:p>
      <w:pPr>
        <w:pStyle w:val="ListBullet"/>
        <w:spacing w:after="60" w:line="276" w:lineRule="auto"/>
      </w:pPr>
      <w:r>
        <w:rPr>
          <w:rFonts w:ascii="Calibri" w:hAnsi="Calibri"/>
          <w:b/>
          <w:color w:val="1F2937"/>
          <w:sz w:val="22"/>
        </w:rPr>
        <w:t xml:space="preserve">• Deployment Integration Constraints: </w:t>
      </w:r>
      <w:r>
        <w:rPr>
          <w:rFonts w:ascii="Calibri" w:hAnsi="Calibri"/>
          <w:color w:val="374151"/>
          <w:sz w:val="22"/>
        </w:rPr>
        <w:t>The web application currently operates on file-based CSV uploads and manual single inputs rather than direct live CRM API integration.</w:t>
      </w:r>
    </w:p>
    <w:p>
      <w:pPr>
        <w:pStyle w:val="Heading1"/>
        <w:keepNext/>
        <w:spacing w:before="280" w:after="80"/>
      </w:pPr>
      <w:r>
        <w:rPr>
          <w:rFonts w:ascii="Calibri" w:hAnsi="Calibri"/>
          <w:b/>
          <w:color w:val="1E3A8A"/>
          <w:sz w:val="34"/>
        </w:rPr>
        <w:t>16. Conclusion</w:t>
      </w:r>
    </w:p>
    <w:p>
      <w:pPr>
        <w:spacing w:after="80" w:line="276" w:lineRule="auto"/>
      </w:pPr>
      <w:r>
        <w:rPr>
          <w:rFonts w:ascii="Calibri" w:hAnsi="Calibri"/>
          <w:color w:val="374151"/>
          <w:sz w:val="22"/>
        </w:rPr>
        <w:t>The TelcoPulse AI project achieves all core research and engineering milestones:</w:t>
      </w:r>
    </w:p>
    <w:p>
      <w:pPr>
        <w:pStyle w:val="ListBullet"/>
        <w:spacing w:after="60" w:line="276" w:lineRule="auto"/>
      </w:pPr>
      <w:r>
        <w:rPr>
          <w:rFonts w:ascii="Calibri" w:hAnsi="Calibri"/>
          <w:b/>
          <w:color w:val="1F2937"/>
          <w:sz w:val="22"/>
        </w:rPr>
        <w:t xml:space="preserve">1. Successfully Developed AI/ML Solution: </w:t>
      </w:r>
      <w:r>
        <w:rPr>
          <w:rFonts w:ascii="Calibri" w:hAnsi="Calibri"/>
          <w:color w:val="374151"/>
          <w:sz w:val="22"/>
        </w:rPr>
        <w:t>An end-to-end Machine Learning customer churn decision support system was successfully conceptualized, built, and deployed.</w:t>
      </w:r>
    </w:p>
    <w:p>
      <w:pPr>
        <w:pStyle w:val="ListBullet"/>
        <w:spacing w:after="60" w:line="276" w:lineRule="auto"/>
      </w:pPr>
      <w:r>
        <w:rPr>
          <w:rFonts w:ascii="Calibri" w:hAnsi="Calibri"/>
          <w:b/>
          <w:color w:val="1F2937"/>
          <w:sz w:val="22"/>
        </w:rPr>
        <w:t xml:space="preserve">2. Data Preprocessing &amp; Analysis Completed: </w:t>
      </w:r>
      <w:r>
        <w:rPr>
          <w:rFonts w:ascii="Calibri" w:hAnsi="Calibri"/>
          <w:color w:val="374151"/>
          <w:sz w:val="22"/>
        </w:rPr>
        <w:t>Comprehensive data preprocessing, outlier auditing, and one-hot encoding were systematically implemented.</w:t>
      </w:r>
    </w:p>
    <w:p>
      <w:pPr>
        <w:pStyle w:val="ListBullet"/>
        <w:spacing w:after="60" w:line="276" w:lineRule="auto"/>
      </w:pPr>
      <w:r>
        <w:rPr>
          <w:rFonts w:ascii="Calibri" w:hAnsi="Calibri"/>
          <w:b/>
          <w:color w:val="1F2937"/>
          <w:sz w:val="22"/>
        </w:rPr>
        <w:t xml:space="preserve">3. Model Rigorously Trained &amp; Evaluated: </w:t>
      </w:r>
      <w:r>
        <w:rPr>
          <w:rFonts w:ascii="Calibri" w:hAnsi="Calibri"/>
          <w:color w:val="374151"/>
          <w:sz w:val="22"/>
        </w:rPr>
        <w:t>Multiple classifiers were trained and benchmarked, with Logistic Regression achieving 80.5% accuracy and 0.845 ROC-AUC.</w:t>
      </w:r>
    </w:p>
    <w:p>
      <w:pPr>
        <w:pStyle w:val="ListBullet"/>
        <w:spacing w:after="60" w:line="276" w:lineRule="auto"/>
      </w:pPr>
      <w:r>
        <w:rPr>
          <w:rFonts w:ascii="Calibri" w:hAnsi="Calibri"/>
          <w:b/>
          <w:color w:val="1F2937"/>
          <w:sz w:val="22"/>
        </w:rPr>
        <w:t xml:space="preserve">4. Actionable Decision Support Delivered: </w:t>
      </w:r>
      <w:r>
        <w:rPr>
          <w:rFonts w:ascii="Calibri" w:hAnsi="Calibri"/>
          <w:color w:val="374151"/>
          <w:sz w:val="22"/>
        </w:rPr>
        <w:t>The system delivers real-time calibrated churn probability, annual financial exposure ($), explainable log-odds attribution, and interactive what-if simulations.</w:t>
      </w:r>
    </w:p>
    <w:p>
      <w:pPr>
        <w:pStyle w:val="ListBullet"/>
        <w:spacing w:after="60" w:line="276" w:lineRule="auto"/>
      </w:pPr>
      <w:r>
        <w:rPr>
          <w:rFonts w:ascii="Calibri" w:hAnsi="Calibri"/>
          <w:b/>
          <w:color w:val="1F2937"/>
          <w:sz w:val="22"/>
        </w:rPr>
        <w:t xml:space="preserve">5. Demonstrated Practical Business Value: </w:t>
      </w:r>
      <w:r>
        <w:rPr>
          <w:rFonts w:ascii="Calibri" w:hAnsi="Calibri"/>
          <w:color w:val="374151"/>
          <w:sz w:val="22"/>
        </w:rPr>
        <w:t>The project proves the practical applicability of machine learning in transforming reactive telecom churn into proactive retention.</w:t>
      </w:r>
    </w:p>
    <w:p>
      <w:pPr>
        <w:pStyle w:val="Heading1"/>
        <w:keepNext/>
        <w:spacing w:before="280" w:after="80"/>
      </w:pPr>
      <w:r>
        <w:rPr>
          <w:rFonts w:ascii="Calibri" w:hAnsi="Calibri"/>
          <w:b/>
          <w:color w:val="1E3A8A"/>
          <w:sz w:val="34"/>
        </w:rPr>
        <w:t>17. Future Scope</w:t>
      </w:r>
    </w:p>
    <w:p>
      <w:pPr>
        <w:spacing w:after="80" w:line="276" w:lineRule="auto"/>
      </w:pPr>
      <w:r>
        <w:rPr>
          <w:rFonts w:ascii="Calibri" w:hAnsi="Calibri"/>
          <w:color w:val="374151"/>
          <w:sz w:val="22"/>
        </w:rPr>
        <w:t>Future enhancements planned for subsequent releases include:</w:t>
      </w:r>
    </w:p>
    <w:p>
      <w:pPr>
        <w:pStyle w:val="ListBullet"/>
        <w:spacing w:after="60" w:line="276" w:lineRule="auto"/>
      </w:pPr>
      <w:r>
        <w:rPr>
          <w:rFonts w:ascii="Calibri" w:hAnsi="Calibri"/>
          <w:b/>
          <w:color w:val="1F2937"/>
          <w:sz w:val="22"/>
        </w:rPr>
        <w:t xml:space="preserve">1. Larger Datasets: </w:t>
      </w:r>
      <w:r>
        <w:rPr>
          <w:rFonts w:ascii="Calibri" w:hAnsi="Calibri"/>
          <w:color w:val="374151"/>
          <w:sz w:val="22"/>
        </w:rPr>
        <w:t>Ingest larger datasets covering multi-year customer lifecycles and millions of subscriber accounts.</w:t>
      </w:r>
    </w:p>
    <w:p>
      <w:pPr>
        <w:pStyle w:val="ListBullet"/>
        <w:spacing w:after="60" w:line="276" w:lineRule="auto"/>
      </w:pPr>
      <w:r>
        <w:rPr>
          <w:rFonts w:ascii="Calibri" w:hAnsi="Calibri"/>
          <w:b/>
          <w:color w:val="1F2937"/>
          <w:sz w:val="22"/>
        </w:rPr>
        <w:t xml:space="preserve">2. Add Telemetry Features: </w:t>
      </w:r>
      <w:r>
        <w:rPr>
          <w:rFonts w:ascii="Calibri" w:hAnsi="Calibri"/>
          <w:color w:val="374151"/>
          <w:sz w:val="22"/>
        </w:rPr>
        <w:t>Integrate real-time Call Detail Records (CDR), data throughput metrics, customer service ticket sentiment, and network QoS logs.</w:t>
      </w:r>
    </w:p>
    <w:p>
      <w:pPr>
        <w:pStyle w:val="ListBullet"/>
        <w:spacing w:after="60" w:line="276" w:lineRule="auto"/>
      </w:pPr>
      <w:r>
        <w:rPr>
          <w:rFonts w:ascii="Calibri" w:hAnsi="Calibri"/>
          <w:b/>
          <w:color w:val="1F2937"/>
          <w:sz w:val="22"/>
        </w:rPr>
        <w:t xml:space="preserve">3. Advanced AI/ML Ensembles: </w:t>
      </w:r>
      <w:r>
        <w:rPr>
          <w:rFonts w:ascii="Calibri" w:hAnsi="Calibri"/>
          <w:color w:val="374151"/>
          <w:sz w:val="22"/>
        </w:rPr>
        <w:t>Implement gradient boosting ensembles (XGBoost, LightGBM, CatBoost) coupled with SHAP (SHapley Additive exPlanations) values.</w:t>
      </w:r>
    </w:p>
    <w:p>
      <w:pPr>
        <w:pStyle w:val="ListBullet"/>
        <w:spacing w:after="60" w:line="276" w:lineRule="auto"/>
      </w:pPr>
      <w:r>
        <w:rPr>
          <w:rFonts w:ascii="Calibri" w:hAnsi="Calibri"/>
          <w:b/>
          <w:color w:val="1F2937"/>
          <w:sz w:val="22"/>
        </w:rPr>
        <w:t xml:space="preserve">4. Real-Time Streaming Prediction: </w:t>
      </w:r>
      <w:r>
        <w:rPr>
          <w:rFonts w:ascii="Calibri" w:hAnsi="Calibri"/>
          <w:color w:val="374151"/>
          <w:sz w:val="22"/>
        </w:rPr>
        <w:t>Deploy streaming inference pipelines on customer interaction events (e.g., billing inquiries, plan downgrades).</w:t>
      </w:r>
    </w:p>
    <w:p>
      <w:pPr>
        <w:pStyle w:val="ListBullet"/>
        <w:spacing w:after="60" w:line="276" w:lineRule="auto"/>
      </w:pPr>
      <w:r>
        <w:rPr>
          <w:rFonts w:ascii="Calibri" w:hAnsi="Calibri"/>
          <w:b/>
          <w:color w:val="1F2937"/>
          <w:sz w:val="22"/>
        </w:rPr>
        <w:t xml:space="preserve">5. Enterprise CRM Integration: </w:t>
      </w:r>
      <w:r>
        <w:rPr>
          <w:rFonts w:ascii="Calibri" w:hAnsi="Calibri"/>
          <w:color w:val="374151"/>
          <w:sz w:val="22"/>
        </w:rPr>
        <w:t>Direct bidirectional REST API integration with enterprise CRM suites (Salesforce, SAP Customer Experience, Zendesk).</w:t>
      </w:r>
    </w:p>
    <w:p>
      <w:pPr>
        <w:pStyle w:val="ListBullet"/>
        <w:spacing w:after="60" w:line="276" w:lineRule="auto"/>
      </w:pPr>
      <w:r>
        <w:rPr>
          <w:rFonts w:ascii="Calibri" w:hAnsi="Calibri"/>
          <w:b/>
          <w:color w:val="1F2937"/>
          <w:sz w:val="22"/>
        </w:rPr>
        <w:t xml:space="preserve">6. Autonomous Retention Campaigns: </w:t>
      </w:r>
      <w:r>
        <w:rPr>
          <w:rFonts w:ascii="Calibri" w:hAnsi="Calibri"/>
          <w:color w:val="374151"/>
          <w:sz w:val="22"/>
        </w:rPr>
        <w:t>Build automated triggers that dispatch SMS or email retention offers when a subscriber enters the Critical Risk (&gt;60%) zone.</w:t>
      </w:r>
    </w:p>
    <w:p>
      <w:pPr>
        <w:pStyle w:val="Heading1"/>
        <w:keepNext/>
        <w:spacing w:before="280" w:after="80"/>
      </w:pPr>
      <w:r>
        <w:rPr>
          <w:rFonts w:ascii="Calibri" w:hAnsi="Calibri"/>
          <w:b/>
          <w:color w:val="1E3A8A"/>
          <w:sz w:val="34"/>
        </w:rPr>
        <w:t>18. References</w:t>
      </w:r>
    </w:p>
    <w:p>
      <w:pPr>
        <w:spacing w:after="60"/>
      </w:pPr>
      <w:r>
        <w:rPr>
          <w:rFonts w:ascii="Calibri" w:hAnsi="Calibri"/>
          <w:color w:val="374151"/>
          <w:sz w:val="19"/>
        </w:rPr>
        <w:t>1. IBM Corporation. 'Telco Customer Churn Dataset', IBM Business Analytics Community &amp; Kaggle Repository, 2019.</w:t>
      </w:r>
    </w:p>
    <w:p>
      <w:pPr>
        <w:spacing w:after="60"/>
      </w:pPr>
      <w:r>
        <w:rPr>
          <w:rFonts w:ascii="Calibri" w:hAnsi="Calibri"/>
          <w:color w:val="374151"/>
          <w:sz w:val="19"/>
        </w:rPr>
        <w:t>2. Pedregosa, F., et al. 'Scikit-learn: Machine Learning in Python', Journal of Machine Learning Research, 12, pp. 2825-2830, 2011.</w:t>
      </w:r>
    </w:p>
    <w:p>
      <w:pPr>
        <w:spacing w:after="60"/>
      </w:pPr>
      <w:r>
        <w:rPr>
          <w:rFonts w:ascii="Calibri" w:hAnsi="Calibri"/>
          <w:color w:val="374151"/>
          <w:sz w:val="19"/>
        </w:rPr>
        <w:t>3. Streamlit Documentation. 'Streamlit: The fastest way to build and share data apps', https://docs.streamlit.io/, 2024.</w:t>
      </w:r>
    </w:p>
    <w:p>
      <w:pPr>
        <w:spacing w:after="60"/>
      </w:pPr>
      <w:r>
        <w:rPr>
          <w:rFonts w:ascii="Calibri" w:hAnsi="Calibri"/>
          <w:color w:val="374151"/>
          <w:sz w:val="19"/>
        </w:rPr>
        <w:t>4. Hastie, T., Tibshirani, R., &amp; Friedman, J. 'The Elements of Statistical Learning: Data Mining, Inference, and Prediction', Springer, 2nd ed., 2009.</w:t>
      </w:r>
    </w:p>
    <w:p>
      <w:pPr>
        <w:spacing w:after="60"/>
      </w:pPr>
      <w:r>
        <w:rPr>
          <w:rFonts w:ascii="Calibri" w:hAnsi="Calibri"/>
          <w:color w:val="374151"/>
          <w:sz w:val="19"/>
        </w:rPr>
        <w:t>5. Ribeiro, M. T., Singh, S., &amp; Guestrin, C. '"Why Should I Trust You?": Explaining the Predictions of Any Classifier', ACM SIGKDD International Conference on Knowledge Discovery and Data Mining, 2016.</w:t>
      </w:r>
    </w:p>
    <w:p>
      <w:pPr>
        <w:spacing w:after="60"/>
      </w:pPr>
      <w:r>
        <w:rPr>
          <w:rFonts w:ascii="Calibri" w:hAnsi="Calibri"/>
          <w:color w:val="374151"/>
          <w:sz w:val="19"/>
        </w:rPr>
        <w:t>6. Plotly Technologies Inc. 'Collaborative data science and interactive visualization library', https://plotly.com/python/, 2024.</w:t>
      </w:r>
    </w:p>
    <w:p>
      <w:pPr>
        <w:spacing w:after="60"/>
      </w:pPr>
      <w:r>
        <w:rPr>
          <w:rFonts w:ascii="Calibri" w:hAnsi="Calibri"/>
          <w:color w:val="374151"/>
          <w:sz w:val="19"/>
        </w:rPr>
        <w:t>7. Hunter, J. D. 'Matplotlib: A 2D Graphics Environment', Computing in Science &amp; Engineering, 9(3), pp. 90-95, 2007.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