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hd w:fill="ffffff" w:val="clear"/>
        <w:spacing w:after="240" w:before="0" w:line="340" w:lineRule="auto"/>
        <w:rPr>
          <w:rFonts w:ascii="Roboto" w:cs="Roboto" w:eastAsia="Roboto" w:hAnsi="Roboto"/>
          <w:b w:val="1"/>
          <w:color w:val="0f1115"/>
          <w:sz w:val="36"/>
          <w:szCs w:val="36"/>
        </w:rPr>
      </w:pPr>
      <w:bookmarkStart w:colFirst="0" w:colLast="0" w:name="_82asrhfs6kd4" w:id="0"/>
      <w:bookmarkEnd w:id="0"/>
      <w:r w:rsidDel="00000000" w:rsidR="00000000" w:rsidRPr="00000000">
        <w:rPr>
          <w:rFonts w:ascii="Roboto" w:cs="Roboto" w:eastAsia="Roboto" w:hAnsi="Roboto"/>
          <w:b w:val="1"/>
          <w:color w:val="0f1115"/>
          <w:sz w:val="36"/>
          <w:szCs w:val="36"/>
          <w:rtl w:val="0"/>
        </w:rPr>
        <w:t xml:space="preserve">Пояснительная записка к диаграмме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hd w:fill="ffffff" w:val="clear"/>
        <w:spacing w:after="240" w:before="480" w:line="349.09090909090907" w:lineRule="auto"/>
        <w:rPr>
          <w:rFonts w:ascii="Roboto" w:cs="Roboto" w:eastAsia="Roboto" w:hAnsi="Roboto"/>
          <w:b w:val="1"/>
          <w:color w:val="0f1115"/>
          <w:sz w:val="33"/>
          <w:szCs w:val="33"/>
        </w:rPr>
      </w:pPr>
      <w:bookmarkStart w:colFirst="0" w:colLast="0" w:name="_ya1gjg62b8lp" w:id="1"/>
      <w:bookmarkEnd w:id="1"/>
      <w:r w:rsidDel="00000000" w:rsidR="00000000" w:rsidRPr="00000000">
        <w:rPr>
          <w:rFonts w:ascii="Roboto" w:cs="Roboto" w:eastAsia="Roboto" w:hAnsi="Roboto"/>
          <w:b w:val="1"/>
          <w:color w:val="0f1115"/>
          <w:sz w:val="33"/>
          <w:szCs w:val="33"/>
          <w:rtl w:val="0"/>
        </w:rPr>
        <w:t xml:space="preserve">Анализ предметной области и проектирование ER-диаграммы 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hd w:fill="ffffff" w:val="clear"/>
        <w:spacing w:after="240" w:before="480" w:line="360" w:lineRule="auto"/>
        <w:rPr>
          <w:rFonts w:ascii="Roboto" w:cs="Roboto" w:eastAsia="Roboto" w:hAnsi="Roboto"/>
          <w:b w:val="1"/>
          <w:color w:val="0f1115"/>
          <w:sz w:val="30"/>
          <w:szCs w:val="30"/>
        </w:rPr>
      </w:pPr>
      <w:bookmarkStart w:colFirst="0" w:colLast="0" w:name="_v32gsc2hmc6z" w:id="2"/>
      <w:bookmarkEnd w:id="2"/>
      <w:r w:rsidDel="00000000" w:rsidR="00000000" w:rsidRPr="00000000">
        <w:rPr>
          <w:rFonts w:ascii="Roboto" w:cs="Roboto" w:eastAsia="Roboto" w:hAnsi="Roboto"/>
          <w:b w:val="1"/>
          <w:color w:val="0f1115"/>
          <w:sz w:val="30"/>
          <w:szCs w:val="30"/>
          <w:rtl w:val="0"/>
        </w:rPr>
        <w:t xml:space="preserve">Принятые допущения </w:t>
      </w:r>
    </w:p>
    <w:p w:rsidR="00000000" w:rsidDel="00000000" w:rsidP="00000000" w:rsidRDefault="00000000" w:rsidRPr="00000000" w14:paraId="00000004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Основываясь на </w:t>
      </w: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исходные данные json и xlsx фалы(Заказ покупателя.xlsx, Спецификация.xlsx, Производство.xlsx, Расчёт стоимости продукции.xlsx, Заказчики.json) были приняты допущения: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hd w:fill="ffffff" w:val="clear"/>
        <w:spacing w:after="0" w:afterAutospacing="0" w:before="24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Дублирование сущностей "client" и "executor" - раздельные хранения клиентов и исполнителей, они имеют идентичную структуру атрибутов, но имеют различные бизнес-роли в процессе заказа.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Нормализация до 3НФ - в текущей схеме реализована третья нормальная форма:</w:t>
      </w:r>
    </w:p>
    <w:p w:rsidR="00000000" w:rsidDel="00000000" w:rsidP="00000000" w:rsidRDefault="00000000" w:rsidRPr="00000000" w14:paraId="00000007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Устранены зависимости через выделение сущностей "unit", "material", "specification"</w:t>
      </w:r>
    </w:p>
    <w:p w:rsidR="00000000" w:rsidDel="00000000" w:rsidP="00000000" w:rsidRDefault="00000000" w:rsidRPr="00000000" w14:paraId="00000008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атрибуты вынесены в отдельные сущности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Специфические бизнес-правила:</w:t>
      </w:r>
    </w:p>
    <w:p w:rsidR="00000000" w:rsidDel="00000000" w:rsidP="00000000" w:rsidRDefault="00000000" w:rsidRPr="00000000" w14:paraId="0000000A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Поле "inn" в сущностях "client" и "executor" имеет тп как строковое, хотя представляет числовое значение, что обусловлено возможным наличием специальных символов</w:t>
      </w:r>
    </w:p>
    <w:p w:rsidR="00000000" w:rsidDel="00000000" w:rsidP="00000000" w:rsidRDefault="00000000" w:rsidRPr="00000000" w14:paraId="0000000B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Статусы заказов используют текстовые значения с default "draft"</w:t>
      </w:r>
    </w:p>
    <w:p w:rsidR="00000000" w:rsidDel="00000000" w:rsidP="00000000" w:rsidRDefault="00000000" w:rsidRPr="00000000" w14:paraId="0000000C">
      <w:pPr>
        <w:numPr>
          <w:ilvl w:val="1"/>
          <w:numId w:val="1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Все сущности используют ключи типа string</w:t>
      </w:r>
    </w:p>
    <w:p w:rsidR="00000000" w:rsidDel="00000000" w:rsidP="00000000" w:rsidRDefault="00000000" w:rsidRPr="00000000" w14:paraId="0000000D">
      <w:pPr>
        <w:pStyle w:val="Heading3"/>
        <w:keepNext w:val="0"/>
        <w:keepLines w:val="0"/>
        <w:shd w:fill="ffffff" w:val="clear"/>
        <w:spacing w:after="240" w:before="480" w:line="360" w:lineRule="auto"/>
        <w:rPr>
          <w:rFonts w:ascii="Roboto" w:cs="Roboto" w:eastAsia="Roboto" w:hAnsi="Roboto"/>
          <w:b w:val="1"/>
          <w:color w:val="0f1115"/>
          <w:sz w:val="30"/>
          <w:szCs w:val="30"/>
        </w:rPr>
      </w:pPr>
      <w:bookmarkStart w:colFirst="0" w:colLast="0" w:name="_kb9oxmg4bu9o" w:id="3"/>
      <w:bookmarkEnd w:id="3"/>
      <w:r w:rsidDel="00000000" w:rsidR="00000000" w:rsidRPr="00000000">
        <w:rPr>
          <w:rFonts w:ascii="Roboto" w:cs="Roboto" w:eastAsia="Roboto" w:hAnsi="Roboto"/>
          <w:b w:val="1"/>
          <w:color w:val="0f1115"/>
          <w:sz w:val="30"/>
          <w:szCs w:val="30"/>
          <w:rtl w:val="0"/>
        </w:rPr>
        <w:t xml:space="preserve">Обеспечение ссылочной целостности</w:t>
      </w:r>
    </w:p>
    <w:p w:rsidR="00000000" w:rsidDel="00000000" w:rsidP="00000000" w:rsidRDefault="00000000" w:rsidRPr="00000000" w14:paraId="0000000E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Все внешние ключи определены с политикой NOT NULL, что обеспечивает обязательность связей. Уникальные constraints на бизнес-ключи (inn) предотвращают дублирование записей. Использование default значений для boolean полей и статусов гарантирует целостность данных при создании новых записей.</w:t>
      </w:r>
    </w:p>
    <w:p w:rsidR="00000000" w:rsidDel="00000000" w:rsidP="00000000" w:rsidRDefault="00000000" w:rsidRPr="00000000" w14:paraId="0000000F">
      <w:pPr>
        <w:pStyle w:val="Heading3"/>
        <w:keepNext w:val="0"/>
        <w:keepLines w:val="0"/>
        <w:shd w:fill="ffffff" w:val="clear"/>
        <w:spacing w:after="240" w:before="480" w:line="360" w:lineRule="auto"/>
        <w:rPr>
          <w:rFonts w:ascii="Roboto" w:cs="Roboto" w:eastAsia="Roboto" w:hAnsi="Roboto"/>
          <w:b w:val="1"/>
          <w:color w:val="0f1115"/>
          <w:sz w:val="30"/>
          <w:szCs w:val="30"/>
        </w:rPr>
      </w:pPr>
      <w:bookmarkStart w:colFirst="0" w:colLast="0" w:name="_5n7bf2vunx3k" w:id="4"/>
      <w:bookmarkEnd w:id="4"/>
      <w:r w:rsidDel="00000000" w:rsidR="00000000" w:rsidRPr="00000000">
        <w:rPr>
          <w:rFonts w:ascii="Roboto" w:cs="Roboto" w:eastAsia="Roboto" w:hAnsi="Roboto"/>
          <w:b w:val="1"/>
          <w:color w:val="0f1115"/>
          <w:sz w:val="30"/>
          <w:szCs w:val="30"/>
          <w:rtl w:val="0"/>
        </w:rPr>
        <w:t xml:space="preserve">Требования к именованию</w:t>
      </w:r>
    </w:p>
    <w:p w:rsidR="00000000" w:rsidDel="00000000" w:rsidP="00000000" w:rsidRDefault="00000000" w:rsidRPr="00000000" w14:paraId="00000010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Принята схема именования в snake_case с префиксами FK для внешних ключей. Все первичные ключи используют суффикс _id, что соответствует стандартам проектирования реляционных баз данных.</w:t>
      </w:r>
    </w:p>
    <w:p w:rsidR="00000000" w:rsidDel="00000000" w:rsidP="00000000" w:rsidRDefault="00000000" w:rsidRPr="00000000" w14:paraId="00000011">
      <w:pPr>
        <w:shd w:fill="ffffff" w:val="clear"/>
        <w:spacing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Модель обеспечивает основу для последующей реализации физической модели данных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Roboto" w:cs="Roboto" w:eastAsia="Roboto" w:hAnsi="Roboto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Roboto" w:cs="Roboto" w:eastAsia="Roboto" w:hAnsi="Roboto"/>
        <w:color w:val="0f1115"/>
        <w:sz w:val="24"/>
        <w:szCs w:val="24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