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03E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学校RAG智能问答系统技术方案</w:t>
      </w:r>
    </w:p>
    <w:p w14:paraId="04A9BF0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一、系统总体架构</w:t>
      </w:r>
      <w:bookmarkEnd w:id="0"/>
    </w:p>
    <w:p w14:paraId="280A382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架构设计核心原则</w:t>
      </w:r>
      <w:bookmarkEnd w:id="1"/>
    </w:p>
    <w:p w14:paraId="5FDCAFE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轻量适配</w:t>
      </w:r>
      <w:r>
        <w:rPr>
          <w:rFonts w:ascii="Arial" w:hAnsi="Arial" w:eastAsia="等线" w:cs="Arial"/>
          <w:sz w:val="22"/>
        </w:rPr>
        <w:t>：前端跨端复用，一套代码覆盖PC/移动端</w:t>
      </w:r>
    </w:p>
    <w:p w14:paraId="0529D6C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模块解耦</w:t>
      </w:r>
      <w:r>
        <w:rPr>
          <w:rFonts w:ascii="Arial" w:hAnsi="Arial" w:eastAsia="等线" w:cs="Arial"/>
          <w:sz w:val="22"/>
        </w:rPr>
        <w:t>：后端基于LangGraph工作流，状态闭环、易迭代</w:t>
      </w:r>
    </w:p>
    <w:p w14:paraId="299870F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数据分层</w:t>
      </w:r>
      <w:r>
        <w:rPr>
          <w:rFonts w:ascii="Arial" w:hAnsi="Arial" w:eastAsia="等线" w:cs="Arial"/>
          <w:sz w:val="22"/>
        </w:rPr>
        <w:t>：解析层、索引层、检索层、生成层独立部署，权限隔离</w:t>
      </w:r>
    </w:p>
    <w:p w14:paraId="7315161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可观测+成本可控</w:t>
      </w:r>
      <w:r>
        <w:rPr>
          <w:rFonts w:ascii="Arial" w:hAnsi="Arial" w:eastAsia="等线" w:cs="Arial"/>
          <w:sz w:val="22"/>
        </w:rPr>
        <w:t>：全链路日志监控，精细匹配算力，杜绝资源浪费</w:t>
      </w:r>
    </w:p>
    <w:p w14:paraId="412B16E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全栈技术选型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5118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F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1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D6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487B5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A7EB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(H5)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11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 + Vant 4（移动端）/ Element Plus（PC端）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2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生态成熟，双端适配，零学习成本</w:t>
            </w:r>
          </w:p>
        </w:tc>
      </w:tr>
      <w:tr w14:paraId="25BBC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80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57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 + LangChain + LangGraph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A4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原生异步高并发，完美支持RAG工作流</w:t>
            </w:r>
          </w:p>
        </w:tc>
      </w:tr>
      <w:tr w14:paraId="201A0D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AE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部署运维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70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C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容器化标准部署，普通IT可维护</w:t>
            </w:r>
          </w:p>
        </w:tc>
      </w:tr>
      <w:tr w14:paraId="7A5FEE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反向代理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C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93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负载均衡、限流、静态资源托管</w:t>
            </w:r>
          </w:p>
        </w:tc>
      </w:tr>
      <w:tr w14:paraId="62F58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E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C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 + 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EF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结构化数据+高性能缓存/会话</w:t>
            </w:r>
          </w:p>
        </w:tc>
      </w:tr>
      <w:tr w14:paraId="4CB521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8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5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Milvus（单机版起步，后期可集群）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26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支持百万级向量，混合检索，开源免费</w:t>
            </w:r>
          </w:p>
        </w:tc>
      </w:tr>
      <w:tr w14:paraId="54A3E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BD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E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1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本地零成本，存储原始文档与图片</w:t>
            </w:r>
          </w:p>
        </w:tc>
      </w:tr>
      <w:tr w14:paraId="78852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A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45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Stream（轻量）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8F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异步解析任务削峰，无需引入RabbitMQ</w:t>
            </w:r>
          </w:p>
        </w:tc>
      </w:tr>
    </w:tbl>
    <w:p w14:paraId="10D55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移除项说明</w:t>
      </w:r>
      <w:r>
        <w:rPr>
          <w:rFonts w:ascii="Arial" w:hAnsi="Arial" w:eastAsia="等线" w:cs="Arial"/>
          <w:sz w:val="22"/>
        </w:rPr>
        <w:t>：RabbitMQ 对校园运维偏重，Redis Stream 足够；Milvus 初期使用单机模式，后期按需升级集群。</w:t>
      </w:r>
    </w:p>
    <w:p w14:paraId="1FB1BF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2B7828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二、文档解析方案</w:t>
      </w:r>
      <w:bookmarkEnd w:id="3"/>
    </w:p>
    <w:p w14:paraId="298ECD9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最终选型（主备组合）</w:t>
      </w:r>
      <w:bookmarkEnd w:id="4"/>
    </w:p>
    <w:p w14:paraId="0FB4D6F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主解析器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MinerU</w:t>
      </w:r>
      <w:r>
        <w:rPr>
          <w:rFonts w:ascii="Arial" w:hAnsi="Arial" w:eastAsia="等线" w:cs="Arial"/>
          <w:sz w:val="22"/>
        </w:rPr>
        <w:t xml:space="preserve">（PDF专项） + </w:t>
      </w:r>
      <w:r>
        <w:rPr>
          <w:rFonts w:ascii="Consolas" w:hAnsi="Consolas" w:eastAsia="Consolas" w:cs="Consolas"/>
          <w:sz w:val="22"/>
          <w:shd w:val="clear" w:fill="EFF0F1"/>
        </w:rPr>
        <w:t>Unstructured</w:t>
      </w:r>
      <w:r>
        <w:rPr>
          <w:rFonts w:ascii="Arial" w:hAnsi="Arial" w:eastAsia="等线" w:cs="Arial"/>
          <w:sz w:val="22"/>
        </w:rPr>
        <w:t>（Word/Excel/PPT）</w:t>
      </w:r>
    </w:p>
    <w:p w14:paraId="06CB324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备用解析器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pypdf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python-docx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openpyxl</w:t>
      </w:r>
      <w:r>
        <w:rPr>
          <w:rFonts w:ascii="Arial" w:hAnsi="Arial" w:eastAsia="等线" w:cs="Arial"/>
          <w:sz w:val="22"/>
        </w:rPr>
        <w:t xml:space="preserve"> 原生库（轻量兜底）</w:t>
      </w:r>
    </w:p>
    <w:p w14:paraId="32ADB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移除多框架对比表，直接给出结论，降低决策成本。</w:t>
      </w:r>
    </w:p>
    <w:p w14:paraId="63DA110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合并单元格表格解决方案</w:t>
      </w:r>
      <w:bookmarkEnd w:id="5"/>
    </w:p>
    <w:p w14:paraId="77A5BEC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常规表格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Unstructured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Consolas" w:hAnsi="Consolas" w:eastAsia="Consolas" w:cs="Consolas"/>
          <w:sz w:val="22"/>
          <w:shd w:val="clear" w:fill="EFF0F1"/>
        </w:rPr>
        <w:t>pandas</w:t>
      </w:r>
      <w:r>
        <w:rPr>
          <w:rFonts w:ascii="Arial" w:hAnsi="Arial" w:eastAsia="等线" w:cs="Arial"/>
          <w:sz w:val="22"/>
        </w:rPr>
        <w:t xml:space="preserve"> 双向校验，自动修正行列错位</w:t>
      </w:r>
    </w:p>
    <w:p w14:paraId="72D59C3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关键表格（成绩/课表）</w:t>
      </w:r>
      <w:r>
        <w:rPr>
          <w:rFonts w:ascii="Arial" w:hAnsi="Arial" w:eastAsia="等线" w:cs="Arial"/>
          <w:sz w:val="22"/>
        </w:rPr>
        <w:t xml:space="preserve">：采用 </w:t>
      </w:r>
      <w:r>
        <w:rPr>
          <w:rFonts w:ascii="Arial" w:hAnsi="Arial" w:eastAsia="等线" w:cs="Arial"/>
          <w:b/>
          <w:sz w:val="22"/>
        </w:rPr>
        <w:t>大模型辅助校验</w:t>
      </w:r>
      <w:r>
        <w:rPr>
          <w:rFonts w:ascii="Arial" w:hAnsi="Arial" w:eastAsia="等线" w:cs="Arial"/>
          <w:sz w:val="22"/>
        </w:rPr>
        <w:t>（仅对低置信度结果触发），不引入TableRAG独立模块</w:t>
      </w:r>
    </w:p>
    <w:p w14:paraId="7BAB8E4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2.3 内嵌图片处理</w:t>
      </w:r>
      <w:bookmarkEnd w:id="6"/>
    </w:p>
    <w:p w14:paraId="694D899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提取图片 → 2. OCR（PaddleOCR） → 3. 多模态模型生成描述 → 4. 与文本合并向量化</w:t>
      </w:r>
    </w:p>
    <w:p w14:paraId="41D933D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2.4 解析执行步骤</w:t>
      </w:r>
      <w:bookmarkEnd w:id="7"/>
    </w:p>
    <w:p w14:paraId="3F3BE39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 → 2. 格式路由 → 3. 异步解析（Redis Stream） → 4. 质量校验 + 存储（Markdown + 元数据）</w:t>
      </w:r>
    </w:p>
    <w:p w14:paraId="4F481B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C195E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三、文本切片与向量化</w:t>
      </w:r>
      <w:bookmarkEnd w:id="8"/>
    </w:p>
    <w:p w14:paraId="0CE8AC2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切片策略（自然边界优先，参数可控）</w:t>
      </w:r>
      <w:bookmarkEnd w:id="9"/>
    </w:p>
    <w:p w14:paraId="30CC9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设计思路</w:t>
      </w:r>
      <w:r>
        <w:rPr>
          <w:rFonts w:ascii="Arial" w:hAnsi="Arial" w:eastAsia="等线" w:cs="Arial"/>
          <w:sz w:val="22"/>
        </w:rPr>
        <w:t>：以固定块大小（512 tokens）为基准，但优先在自然边界（段落、句子、表格边界）处切分，避免跨边界截断。这样既保留简单可控的核心参数，又大幅提升语义完整性。</w:t>
      </w:r>
    </w:p>
    <w:p w14:paraId="085FCEE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核心参数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8A6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E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6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6C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9A2E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09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目标块大小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B634D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 xml:space="preserve">512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1A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标准块容量，兼顾语义与检索效率</w:t>
            </w:r>
          </w:p>
        </w:tc>
      </w:tr>
      <w:tr w14:paraId="54981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CD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最小块大小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90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200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4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低于此值时尝试合并相邻小片段</w:t>
            </w:r>
          </w:p>
        </w:tc>
      </w:tr>
      <w:tr w14:paraId="7EE01C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44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最大块大小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A6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1024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5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超出此阈值强制切分，避免单块过长</w:t>
            </w:r>
          </w:p>
        </w:tc>
      </w:tr>
      <w:tr w14:paraId="28A9BD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A6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重叠长度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EA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50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9C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相邻块共享内容，保证上下文连续</w:t>
            </w:r>
          </w:p>
        </w:tc>
      </w:tr>
    </w:tbl>
    <w:p w14:paraId="44E17E9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切分优先级（按顺序执行）</w:t>
      </w:r>
      <w:bookmarkEnd w:id="11"/>
    </w:p>
    <w:p w14:paraId="3422201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段落边界优先：按 \n\n 分割文档，每个段落视为一个候选块。若段落长度在 [200, 1024] 之间，直接保留。</w:t>
      </w:r>
    </w:p>
    <w:p w14:paraId="5C7C29C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句子边界次之：若段落过长，按句号、问号、感叹号切分为句子，尽量保持完整句子。</w:t>
      </w:r>
    </w:p>
    <w:p w14:paraId="0D0CC70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字符兜底：若单个句子仍超过1024 </w:t>
      </w:r>
      <w:r>
        <w:rPr>
          <w:rFonts w:hint="eastAsia" w:ascii="Arial" w:hAnsi="Arial" w:eastAsia="等线" w:cs="Arial"/>
          <w:sz w:val="22"/>
          <w:lang w:val="en-US" w:eastAsia="zh-CN"/>
        </w:rPr>
        <w:t>字符</w:t>
      </w:r>
      <w:r>
        <w:rPr>
          <w:rFonts w:ascii="Arial" w:hAnsi="Arial" w:eastAsia="等线" w:cs="Arial"/>
          <w:sz w:val="22"/>
        </w:rPr>
        <w:t>，才强制按字符截断（极少发生，仅针对无空格超长文本如代码）。</w:t>
      </w:r>
    </w:p>
    <w:p w14:paraId="45BB9E1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特殊内容保护</w:t>
      </w:r>
      <w:bookmarkEnd w:id="12"/>
    </w:p>
    <w:p w14:paraId="47B3E2C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表格：将整个表格（Markdown格式）视为不可切分单元。若表格总token数 ≤ 1024，整个保留；若超过，则按行切分，保证每块包含完整的表头+若干行。</w:t>
      </w:r>
    </w:p>
    <w:p w14:paraId="5459161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向量模型</w:t>
      </w:r>
      <w:bookmarkEnd w:id="13"/>
    </w:p>
    <w:p w14:paraId="0459FFA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text-embedding-v3</w:t>
      </w:r>
      <w:r>
        <w:rPr>
          <w:rFonts w:ascii="Arial" w:hAnsi="Arial" w:eastAsia="等线" w:cs="Arial"/>
          <w:sz w:val="22"/>
        </w:rPr>
        <w:t>（多语言榜首，支持长文本）</w:t>
      </w:r>
    </w:p>
    <w:p w14:paraId="35E2BA4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调用方式</w:t>
      </w:r>
      <w:r>
        <w:rPr>
          <w:rFonts w:ascii="Arial" w:hAnsi="Arial" w:eastAsia="等线" w:cs="Arial"/>
          <w:sz w:val="22"/>
        </w:rPr>
        <w:t>：云端API（无需本地算力）</w:t>
      </w:r>
    </w:p>
    <w:p w14:paraId="3A073D8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成本优化</w:t>
      </w:r>
      <w:r>
        <w:rPr>
          <w:rFonts w:ascii="Arial" w:hAnsi="Arial" w:eastAsia="等线" w:cs="Arial"/>
          <w:sz w:val="22"/>
        </w:rPr>
        <w:t>：相同文本缓存向量结果 + 非核心文档使用轻量模型（如</w:t>
      </w:r>
      <w:r>
        <w:rPr>
          <w:rFonts w:ascii="Consolas" w:hAnsi="Consolas" w:eastAsia="Consolas" w:cs="Consolas"/>
          <w:sz w:val="22"/>
          <w:shd w:val="clear" w:fill="EFF0F1"/>
        </w:rPr>
        <w:t>bge-small-zh</w:t>
      </w:r>
      <w:r>
        <w:rPr>
          <w:rFonts w:ascii="Arial" w:hAnsi="Arial" w:eastAsia="等线" w:cs="Arial"/>
          <w:sz w:val="22"/>
        </w:rPr>
        <w:t>）</w:t>
      </w:r>
    </w:p>
    <w:p w14:paraId="1F11BE9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向量数据库与索引</w:t>
      </w:r>
      <w:bookmarkEnd w:id="14"/>
    </w:p>
    <w:p w14:paraId="4B01A8A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：Milvus 单机版（后期可升级集群）</w:t>
      </w:r>
    </w:p>
    <w:p w14:paraId="117FFA3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索引类型</w:t>
      </w:r>
      <w:r>
        <w:rPr>
          <w:rFonts w:ascii="Arial" w:hAnsi="Arial" w:eastAsia="等线" w:cs="Arial"/>
          <w:sz w:val="22"/>
        </w:rPr>
        <w:t>：HNSW（默认，兼顾速度和精度）</w:t>
      </w:r>
    </w:p>
    <w:p w14:paraId="426401A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向量维度</w:t>
      </w:r>
      <w:r>
        <w:rPr>
          <w:rFonts w:ascii="Arial" w:hAnsi="Arial" w:eastAsia="等线" w:cs="Arial"/>
          <w:sz w:val="22"/>
        </w:rPr>
        <w:t>：1024（v3模型输出维度，非4096，降低存储与计算）</w:t>
      </w:r>
    </w:p>
    <w:p w14:paraId="3E6EEE9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数据隔离</w:t>
      </w:r>
      <w:r>
        <w:rPr>
          <w:rFonts w:ascii="Arial" w:hAnsi="Arial" w:eastAsia="等线" w:cs="Arial"/>
          <w:sz w:val="22"/>
        </w:rPr>
        <w:t>：按学科/文档类型划分collection，实现权限分离</w:t>
      </w:r>
    </w:p>
    <w:p w14:paraId="390152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445E04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四、检索方案</w:t>
      </w:r>
      <w:bookmarkEnd w:id="15"/>
    </w:p>
    <w:p w14:paraId="2DF755A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4.1 三路并行召回策略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7283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6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召回通道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8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1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</w:t>
            </w:r>
          </w:p>
        </w:tc>
      </w:tr>
      <w:tr w14:paraId="65F6A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F3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稠密向量语义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D8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text-embedding-v3 相似度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C3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</w:tr>
      <w:tr w14:paraId="08A7DD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B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稀疏关键词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06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BM25（内置Milvus或Elasticsearch）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5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</w:t>
            </w:r>
          </w:p>
        </w:tc>
      </w:tr>
      <w:tr w14:paraId="6EC77C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CA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A5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大模型生成2-3个同义/相关查询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1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</w:t>
            </w:r>
          </w:p>
        </w:tc>
      </w:tr>
    </w:tbl>
    <w:p w14:paraId="40E75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sz w:val="22"/>
        </w:rPr>
        <w:t xml:space="preserve">加权求和 </w:t>
      </w:r>
      <w:r>
        <w:rPr>
          <w:rFonts w:ascii="Arial" w:hAnsi="Arial" w:eastAsia="等线" w:cs="Arial"/>
          <w:i/>
          <w:sz w:val="22"/>
        </w:rPr>
        <w:t>简单有效。</w:t>
      </w:r>
    </w:p>
    <w:p w14:paraId="685CF8A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4.2 一级精排</w:t>
      </w:r>
      <w:bookmarkEnd w:id="17"/>
    </w:p>
    <w:p w14:paraId="28EEDCA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Qwen3-VL-Rerank</w:t>
      </w:r>
      <w:r>
        <w:rPr>
          <w:rFonts w:ascii="Arial" w:hAnsi="Arial" w:eastAsia="等线" w:cs="Arial"/>
          <w:sz w:val="22"/>
        </w:rPr>
        <w:t>（交叉编码器，精度高）</w:t>
      </w:r>
    </w:p>
    <w:p w14:paraId="625447E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</w:t>
      </w:r>
      <w:r>
        <w:rPr>
          <w:rFonts w:ascii="Arial" w:hAnsi="Arial" w:eastAsia="等线" w:cs="Arial"/>
          <w:sz w:val="22"/>
        </w:rPr>
        <w:t>：召回50条 → 重排序打分 → 筛选Top-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 → 送入大模型</w:t>
      </w:r>
    </w:p>
    <w:p w14:paraId="3C6E0C2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阈值过滤</w:t>
      </w:r>
      <w:r>
        <w:rPr>
          <w:rFonts w:ascii="Arial" w:hAnsi="Arial" w:eastAsia="等线" w:cs="Arial"/>
          <w:sz w:val="22"/>
        </w:rPr>
        <w:t>：低于相关性0.6的结果直接丢弃，返回“知识库中暂无相关内容”</w:t>
      </w:r>
    </w:p>
    <w:p w14:paraId="7A4EDFA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4.3 进阶优化</w:t>
      </w:r>
      <w:bookmarkEnd w:id="18"/>
    </w:p>
    <w:p w14:paraId="29A49E0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假设性文档嵌入</w:t>
      </w:r>
      <w:r>
        <w:rPr>
          <w:rFonts w:ascii="Arial" w:hAnsi="Arial" w:eastAsia="等线" w:cs="Arial"/>
          <w:sz w:val="22"/>
        </w:rPr>
        <w:t>：针对短查询生成虚拟文档再检索</w:t>
      </w:r>
    </w:p>
    <w:p w14:paraId="6B57BF5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智能查询改写</w:t>
      </w:r>
      <w:r>
        <w:rPr>
          <w:rFonts w:ascii="Arial" w:hAnsi="Arial" w:eastAsia="等线" w:cs="Arial"/>
          <w:sz w:val="22"/>
        </w:rPr>
        <w:t>：口语转书面，消解代词</w:t>
      </w:r>
    </w:p>
    <w:p w14:paraId="62250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两项均为轻量级，不增加额外模块。</w:t>
      </w:r>
    </w:p>
    <w:p w14:paraId="6B0F2A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040EB4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五、多轮对话与记忆管理</w:t>
      </w:r>
      <w:bookmarkEnd w:id="19"/>
    </w:p>
    <w:p w14:paraId="408E1AD4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5.1 记忆架构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D116E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8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8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存储介质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8C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42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生命周期</w:t>
            </w:r>
          </w:p>
        </w:tc>
      </w:tr>
      <w:tr w14:paraId="2FA3F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90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短期记忆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44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F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当前会话上下文（最近10轮）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4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会话结束或30分钟无操作后清除</w:t>
            </w:r>
          </w:p>
        </w:tc>
      </w:tr>
      <w:tr w14:paraId="2974FE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B9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中期记忆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E8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PostgreSQL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3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用户历史会话列表，可点击加载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7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永久保存，用户可删除</w:t>
            </w:r>
          </w:p>
        </w:tc>
      </w:tr>
      <w:tr w14:paraId="0FD6D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5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长期知识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7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3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文档内容，不存储个人对话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D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</w:t>
            </w:r>
          </w:p>
        </w:tc>
      </w:tr>
    </w:tbl>
    <w:p w14:paraId="11F8C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交互对齐豆包</w:t>
      </w:r>
      <w:r>
        <w:rPr>
          <w:rFonts w:ascii="Arial" w:hAnsi="Arial" w:eastAsia="等线" w:cs="Arial"/>
          <w:sz w:val="22"/>
        </w:rPr>
        <w:t>：前端左侧显示历史会话记录，点击后加载该会话全部对话内容，并继续基于该会话上下文进行问答。</w:t>
      </w:r>
    </w:p>
    <w:p w14:paraId="58C4BFF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5.2 高并发管控</w:t>
      </w:r>
      <w:bookmarkEnd w:id="21"/>
    </w:p>
    <w:p w14:paraId="77D6702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Redis 集群存储会话，支持</w:t>
      </w:r>
      <w:r>
        <w:rPr>
          <w:rFonts w:hint="eastAsia" w:ascii="Arial" w:hAnsi="Arial" w:eastAsia="等线" w:cs="Arial"/>
          <w:sz w:val="22"/>
          <w:lang w:val="en-US" w:eastAsia="zh-CN"/>
        </w:rPr>
        <w:t>万</w:t>
      </w:r>
      <w:r>
        <w:rPr>
          <w:rFonts w:ascii="Arial" w:hAnsi="Arial" w:eastAsia="等线" w:cs="Arial"/>
          <w:sz w:val="22"/>
        </w:rPr>
        <w:t>人在线</w:t>
      </w:r>
    </w:p>
    <w:p w14:paraId="5FC2D3E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长会话自动摘要（每20轮触发一次，压缩历史）</w:t>
      </w:r>
    </w:p>
    <w:p w14:paraId="7FA98D8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用户数据加密存储，敏感信息脱敏</w:t>
      </w:r>
    </w:p>
    <w:p w14:paraId="04EB8BB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5.3 LangGraph 工作流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0554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EF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用户输入 → 查询改写 → 意图识别 → 加载记忆 → 三路检索 → 重排序 → 答案生成 → 更新记忆 → 返回结果+来源</w:t>
            </w:r>
          </w:p>
        </w:tc>
      </w:tr>
    </w:tbl>
    <w:p w14:paraId="20B82E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D180CA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六、高并发与性能保障</w:t>
      </w:r>
      <w:bookmarkEnd w:id="23"/>
    </w:p>
    <w:p w14:paraId="1AF9970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6.1 并发预估</w:t>
      </w:r>
      <w:bookmarkEnd w:id="24"/>
    </w:p>
    <w:p w14:paraId="29E4704D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6.2 分层架构</w:t>
      </w:r>
      <w:bookmarkEnd w:id="25"/>
    </w:p>
    <w:p w14:paraId="4CDCA56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接入层：Nginx 限流（单IP 10 QPS）+ 静态缓存</w:t>
      </w:r>
    </w:p>
    <w:p w14:paraId="7D269A0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应用层：FastAPI 多实例（4核8G * 3台起步）</w:t>
      </w:r>
    </w:p>
    <w:p w14:paraId="05DB746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数据层：PostgreSQL主从 + Redis集群 + Milvus单机（后期水平扩展）</w:t>
      </w:r>
    </w:p>
    <w:p w14:paraId="318DD79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6.3 兜底策略</w:t>
      </w:r>
      <w:bookmarkEnd w:id="26"/>
    </w:p>
    <w:p w14:paraId="59ECEF6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限流</w:t>
      </w:r>
      <w:r>
        <w:rPr>
          <w:rFonts w:ascii="Arial" w:hAnsi="Arial" w:eastAsia="等线" w:cs="Arial"/>
          <w:sz w:val="22"/>
        </w:rPr>
        <w:t>：用户级 + 接口级（问答接口最高200 QPS）</w:t>
      </w:r>
    </w:p>
    <w:p w14:paraId="3F3A8FF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降级</w:t>
      </w:r>
      <w:r>
        <w:rPr>
          <w:rFonts w:ascii="Arial" w:hAnsi="Arial" w:eastAsia="等线" w:cs="Arial"/>
          <w:sz w:val="22"/>
        </w:rPr>
        <w:t>：峰值时关闭查询扩展，仅用向量+BM25检索</w:t>
      </w:r>
    </w:p>
    <w:p w14:paraId="677BF0A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熔断</w:t>
      </w:r>
      <w:r>
        <w:rPr>
          <w:rFonts w:ascii="Arial" w:hAnsi="Arial" w:eastAsia="等线" w:cs="Arial"/>
          <w:sz w:val="22"/>
        </w:rPr>
        <w:t>：外部API（向量模型、大模型）连续失败3次，切换本地缓存或返回友好提示</w:t>
      </w:r>
    </w:p>
    <w:p w14:paraId="46B6BC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3B9F46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七、前端适配开发</w:t>
      </w:r>
      <w:bookmarkEnd w:id="27"/>
    </w:p>
    <w:p w14:paraId="0561662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7.1 技术栈</w:t>
      </w:r>
      <w:bookmarkEnd w:id="28"/>
    </w:p>
    <w:p w14:paraId="56F34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Vue3 + TypeScript + Vant4（移动）/ Element Plus（PC）+ Pinia + Axios</w:t>
      </w:r>
    </w:p>
    <w:p w14:paraId="6482D275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7.2 核心功能模块</w:t>
      </w:r>
      <w:bookmarkEnd w:id="29"/>
    </w:p>
    <w:p w14:paraId="2F3B352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知识库管理</w:t>
      </w:r>
      <w:r>
        <w:rPr>
          <w:rFonts w:ascii="Arial" w:hAnsi="Arial" w:eastAsia="等线" w:cs="Arial"/>
          <w:sz w:val="22"/>
        </w:rPr>
        <w:t>：文档上传、解析进度、分类筛选、权限</w:t>
      </w:r>
    </w:p>
    <w:p w14:paraId="0DD1522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智能问答</w:t>
      </w:r>
      <w:r>
        <w:rPr>
          <w:rFonts w:ascii="Arial" w:hAnsi="Arial" w:eastAsia="等线" w:cs="Arial"/>
          <w:sz w:val="22"/>
        </w:rPr>
        <w:t>：类豆包对话界面、Markdown渲染、来源高亮</w:t>
      </w:r>
    </w:p>
    <w:p w14:paraId="0A04C96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</w:t>
      </w:r>
      <w:r>
        <w:rPr>
          <w:rFonts w:ascii="Arial" w:hAnsi="Arial" w:eastAsia="等线" w:cs="Arial"/>
          <w:sz w:val="22"/>
        </w:rPr>
        <w:t>：历史会话列表、反馈纠错</w:t>
      </w:r>
    </w:p>
    <w:p w14:paraId="6091B99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7.3 双端适配</w:t>
      </w:r>
      <w:bookmarkEnd w:id="30"/>
    </w:p>
    <w:p w14:paraId="7D46E3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自动识别设备，PC侧边栏，移动底部导航。</w:t>
      </w:r>
    </w:p>
    <w:p w14:paraId="5E9900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5A7C5A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八、测试与运维</w:t>
      </w:r>
      <w:bookmarkEnd w:id="31"/>
    </w:p>
    <w:p w14:paraId="4D00EAAA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8.1 三级测试体系（合并单元+集成）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ACDE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5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7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A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58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通过标准</w:t>
            </w:r>
          </w:p>
        </w:tc>
      </w:tr>
      <w:tr w14:paraId="5BF7A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2B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56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解析、检索、对话全流程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3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pytest + 真实校园文档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0E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核心流程无报错</w:t>
            </w:r>
          </w:p>
        </w:tc>
      </w:tr>
      <w:tr w14:paraId="13764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E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CC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问答命中率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9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RAGAS + 人工抽检100题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97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前3条命中率≥80%</w:t>
            </w:r>
          </w:p>
        </w:tc>
      </w:tr>
      <w:tr w14:paraId="20C1D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C1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4D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并发与延迟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89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JMeter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953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 QPS下平均延迟≤2秒</w:t>
            </w:r>
          </w:p>
        </w:tc>
      </w:tr>
    </w:tbl>
    <w:p w14:paraId="095AE3B3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8.2 监控告警</w:t>
      </w:r>
      <w:bookmarkEnd w:id="33"/>
    </w:p>
    <w:p w14:paraId="5452E91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日志：ELK 或 Loki（轻量）</w:t>
      </w:r>
    </w:p>
    <w:p w14:paraId="24B3F8C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指标：Prometheus + Grafana（接口耗时、错误率、成本）</w:t>
      </w:r>
    </w:p>
    <w:p w14:paraId="1C28C1D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告警：钉钉/企业微信机器人，异常阈值触发通知</w:t>
      </w:r>
    </w:p>
    <w:p w14:paraId="362CBB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B484AB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九、分阶段迭代</w:t>
      </w:r>
      <w:bookmarkEnd w:id="34"/>
    </w:p>
    <w:p w14:paraId="51D7B1C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上线前（1周）</w:t>
      </w:r>
      <w:r>
        <w:rPr>
          <w:rFonts w:ascii="Arial" w:hAnsi="Arial" w:eastAsia="等线" w:cs="Arial"/>
          <w:sz w:val="22"/>
        </w:rPr>
        <w:t>：提示词调优、高频问答预热、bug修复</w:t>
      </w:r>
    </w:p>
    <w:p w14:paraId="4D23507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运行初期（1个月）</w:t>
      </w:r>
      <w:r>
        <w:rPr>
          <w:rFonts w:ascii="Arial" w:hAnsi="Arial" w:eastAsia="等线" w:cs="Arial"/>
          <w:sz w:val="22"/>
        </w:rPr>
        <w:t>：收集bad case，微调切片和检索权重</w:t>
      </w:r>
    </w:p>
    <w:p w14:paraId="1F0266D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长期优化</w:t>
      </w:r>
      <w:r>
        <w:rPr>
          <w:rFonts w:ascii="Arial" w:hAnsi="Arial" w:eastAsia="等线" w:cs="Arial"/>
          <w:sz w:val="22"/>
        </w:rPr>
        <w:t>：按需引入GraphRAG或难例自动学习</w:t>
      </w:r>
    </w:p>
    <w:p w14:paraId="4FCF79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371C38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十、项目周期</w:t>
      </w:r>
      <w:bookmarkEnd w:id="35"/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2"/>
        <w:gridCol w:w="1109"/>
        <w:gridCol w:w="4529"/>
      </w:tblGrid>
      <w:tr w14:paraId="71985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6D9C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748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周期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E982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交付物</w:t>
            </w:r>
          </w:p>
        </w:tc>
      </w:tr>
      <w:tr w14:paraId="5FF94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A46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环境搭建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CD61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0.5周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11C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Docker环境、数据库、MinIO</w:t>
            </w:r>
          </w:p>
        </w:tc>
      </w:tr>
      <w:tr w14:paraId="07648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987C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 文档解析模块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A6F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1F45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多格式解析、图片OCR</w:t>
            </w:r>
          </w:p>
        </w:tc>
      </w:tr>
      <w:tr w14:paraId="60ECD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CF47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 切片+向量化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50B5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0.5周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2D68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切片逻辑、向量模型集成</w:t>
            </w:r>
          </w:p>
        </w:tc>
      </w:tr>
      <w:tr w14:paraId="530D8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32BC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4. 向量数据库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2B7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0.5周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E8F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Milvus单机部署、索引配置</w:t>
            </w:r>
          </w:p>
        </w:tc>
      </w:tr>
      <w:tr w14:paraId="3B49C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C291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5. 检索+精排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22D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1.5周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AE6E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三路召回、重排序、阈值</w:t>
            </w:r>
          </w:p>
        </w:tc>
      </w:tr>
      <w:tr w14:paraId="56FA8B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5616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6. 多轮对话+记忆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D6B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A23A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LangGraph工作流、Redis会话</w:t>
            </w:r>
          </w:p>
        </w:tc>
      </w:tr>
      <w:tr w14:paraId="77F85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43DB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7. 后端接口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D328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118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全量API、鉴权、限流</w:t>
            </w:r>
          </w:p>
        </w:tc>
      </w:tr>
      <w:tr w14:paraId="3775E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5C2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8. 前端开发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3C06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338A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PC+移动双端适配</w:t>
            </w:r>
          </w:p>
        </w:tc>
      </w:tr>
      <w:tr w14:paraId="69A0F6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22CD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9. 联调测试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2CD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482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功能、精度、性能测试</w:t>
            </w:r>
          </w:p>
        </w:tc>
      </w:tr>
      <w:tr w14:paraId="795A74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1F50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10. 部署上线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DDC6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0.5周</w:t>
            </w:r>
          </w:p>
        </w:tc>
        <w:tc>
          <w:tcPr>
            <w:tcW w:w="45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9AAF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生产部署、监控配置</w:t>
            </w:r>
          </w:p>
        </w:tc>
      </w:tr>
    </w:tbl>
    <w:p w14:paraId="717DC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总周期：约10周（2.5个月）</w:t>
      </w:r>
    </w:p>
    <w:p w14:paraId="054D5D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75DA79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十一、关键风险与应对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8"/>
      </w:tblGrid>
      <w:tr w14:paraId="7767D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0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01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应对策略</w:t>
            </w:r>
          </w:p>
        </w:tc>
      </w:tr>
      <w:tr w14:paraId="348EB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A1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Excel合并单元格错乱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80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Unstructured+pandas校验 + 关键表人工审核入口</w:t>
            </w:r>
          </w:p>
        </w:tc>
      </w:tr>
      <w:tr w14:paraId="160F7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64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向量API成本超限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6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本地缓存 + 降级轻量模型 + 离线批处理</w:t>
            </w:r>
          </w:p>
        </w:tc>
      </w:tr>
      <w:tr w14:paraId="70BD3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7D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并发超预期宕机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61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Nginx限流 + 自动扩容脚本 + 降级检索</w:t>
            </w:r>
          </w:p>
        </w:tc>
      </w:tr>
      <w:tr w14:paraId="498148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59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问答精度不达标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3F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重排序保底 + 周度bad case复盘优化</w:t>
            </w:r>
          </w:p>
        </w:tc>
      </w:tr>
      <w:tr w14:paraId="1C24D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16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隐私数据泄露</w:t>
            </w:r>
          </w:p>
        </w:tc>
        <w:tc>
          <w:tcPr>
            <w:tcW w:w="54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3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用户隔离 + 敏感词脱敏 + HTTPS + 数据加密</w:t>
            </w:r>
          </w:p>
        </w:tc>
      </w:tr>
    </w:tbl>
    <w:p w14:paraId="5E4E1DF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0F58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D5B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7"/>
  </w:num>
  <w:num w:numId="22">
    <w:abstractNumId w:val="22"/>
  </w:num>
  <w:num w:numId="23">
    <w:abstractNumId w:val="29"/>
  </w:num>
  <w:num w:numId="24">
    <w:abstractNumId w:val="6"/>
  </w:num>
  <w:num w:numId="25">
    <w:abstractNumId w:val="42"/>
  </w:num>
  <w:num w:numId="26">
    <w:abstractNumId w:val="40"/>
  </w:num>
  <w:num w:numId="27">
    <w:abstractNumId w:val="10"/>
  </w:num>
  <w:num w:numId="28">
    <w:abstractNumId w:val="38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3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1"/>
  </w:num>
  <w:num w:numId="41">
    <w:abstractNumId w:val="9"/>
  </w:num>
  <w:num w:numId="42">
    <w:abstractNumId w:val="2"/>
  </w:num>
  <w:num w:numId="43">
    <w:abstractNumId w:val="8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46150F"/>
    <w:rsid w:val="41211A3B"/>
    <w:rsid w:val="45BB5620"/>
    <w:rsid w:val="6C494E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2599</Words>
  <Characters>3346</Characters>
  <TotalTime>7</TotalTime>
  <ScaleCrop>false</ScaleCrop>
  <LinksUpToDate>false</LinksUpToDate>
  <CharactersWithSpaces>3527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2026-04-22T12:49:00Z</dcterms:created>
  <dc:creator>Apache POI</dc:creator>
  <cp:lastModifiedBy>谁可共你比</cp:lastModifiedBy>
  <dcterms:modified xsi:type="dcterms:W3CDTF">2026-04-22T12:58:53Z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eyJoZGlkIjoiOTE2OTkyOWYzYWMyMTBlZmEzNDc0ZGQyMThjZmU5OWQiLCJ1c2VySWQiOiI3MTkxNjc4NTIifQ==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DDFB676C2CFE4E13B8F14B0102F539D5_13</vt:lpwstr>
  </property>
</Properties>
</file>