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</w:rPr>
      </w:pPr>
      <w:bookmarkStart w:id="0" w:name="_Toc17529076"/>
    </w:p>
    <w:p>
      <w:pPr>
        <w:pStyle w:val="11"/>
      </w:pPr>
    </w:p>
    <w:bookmarkEnd w:id="0"/>
    <w:p>
      <w:pPr>
        <w:pStyle w:val="11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应用服务正式环境变更规范</w:t>
      </w:r>
    </w:p>
    <w:p>
      <w:pPr>
        <w:pStyle w:val="11"/>
        <w:jc w:val="both"/>
      </w:pPr>
    </w:p>
    <w:p>
      <w:pPr>
        <w:rPr>
          <w:rFonts w:ascii="Calibri" w:hAnsi="Calibri"/>
        </w:rPr>
      </w:pPr>
    </w:p>
    <w:p>
      <w:pPr>
        <w:rPr>
          <w:rFonts w:ascii="Calibri" w:hAnsi="Calibri"/>
        </w:rPr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/>
    <w:p/>
    <w:p/>
    <w:p/>
    <w:p/>
    <w:p>
      <w:pPr>
        <w:pStyle w:val="12"/>
      </w:pPr>
    </w:p>
    <w:p>
      <w:pPr>
        <w:pStyle w:val="12"/>
      </w:pPr>
      <w:r>
        <w:rPr>
          <w:rFonts w:hint="eastAsia"/>
        </w:rPr>
        <w:t>环球优路-技术中心</w:t>
      </w:r>
    </w:p>
    <w:p>
      <w:pPr>
        <w:pStyle w:val="12"/>
      </w:pPr>
      <w:r>
        <w:rPr>
          <w:rFonts w:hint="eastAsia"/>
        </w:rPr>
        <w:t>20</w:t>
      </w:r>
      <w:r>
        <w:rPr>
          <w:rFonts w:hint="eastAsia"/>
          <w:lang w:val="en-US" w:eastAsia="zh-CN"/>
        </w:rPr>
        <w:t>20</w:t>
      </w:r>
      <w:r>
        <w:t>-12</w:t>
      </w:r>
    </w:p>
    <w:p/>
    <w:p/>
    <w:p/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221"/>
        <w:gridCol w:w="2280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279" w:type="dxa"/>
            <w:shd w:val="clear" w:color="auto" w:fill="CCCCCC"/>
            <w:vAlign w:val="center"/>
          </w:tcPr>
          <w:p>
            <w:pPr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版本</w:t>
            </w:r>
          </w:p>
        </w:tc>
        <w:tc>
          <w:tcPr>
            <w:tcW w:w="2221" w:type="dxa"/>
            <w:shd w:val="clear" w:color="auto" w:fill="CCCCCC"/>
            <w:vAlign w:val="center"/>
          </w:tcPr>
          <w:p>
            <w:pPr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时间</w:t>
            </w:r>
          </w:p>
        </w:tc>
        <w:tc>
          <w:tcPr>
            <w:tcW w:w="2280" w:type="dxa"/>
            <w:shd w:val="clear" w:color="auto" w:fill="CCCCCC"/>
            <w:vAlign w:val="center"/>
          </w:tcPr>
          <w:p>
            <w:pPr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修改人</w:t>
            </w:r>
          </w:p>
        </w:tc>
        <w:tc>
          <w:tcPr>
            <w:tcW w:w="2280" w:type="dxa"/>
            <w:shd w:val="clear" w:color="auto" w:fill="CCCCCC"/>
            <w:vAlign w:val="center"/>
          </w:tcPr>
          <w:p>
            <w:pPr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279" w:type="dxa"/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1.0.0</w:t>
            </w:r>
          </w:p>
        </w:tc>
        <w:tc>
          <w:tcPr>
            <w:tcW w:w="2221" w:type="dxa"/>
            <w:vAlign w:val="center"/>
          </w:tcPr>
          <w:p>
            <w:pPr>
              <w:rPr>
                <w:rFonts w:hint="default" w:eastAsia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20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kern w:val="0"/>
                <w:sz w:val="21"/>
                <w:szCs w:val="21"/>
              </w:rPr>
              <w:t>12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2280" w:type="dxa"/>
            <w:vAlign w:val="center"/>
          </w:tcPr>
          <w:p>
            <w:pPr>
              <w:rPr>
                <w:rFonts w:hint="eastAsia" w:eastAsia="微软雅黑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陈景涛</w:t>
            </w:r>
          </w:p>
        </w:tc>
        <w:tc>
          <w:tcPr>
            <w:tcW w:w="2280" w:type="dxa"/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</w:p>
        </w:tc>
      </w:tr>
    </w:tbl>
    <w:p/>
    <w:p>
      <w:pPr>
        <w:pStyle w:val="4"/>
        <w:numPr>
          <w:ilvl w:val="0"/>
          <w:numId w:val="2"/>
        </w:numPr>
        <w:ind w:leftChars="0"/>
      </w:pPr>
      <w:bookmarkStart w:id="1" w:name="_Toc11680692"/>
      <w:r>
        <w:t>编写目的</w:t>
      </w:r>
      <w:bookmarkEnd w:id="1"/>
    </w:p>
    <w:p>
      <w:pPr>
        <w:ind w:left="210" w:leftChars="100"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为规范</w:t>
      </w:r>
      <w:r>
        <w:rPr>
          <w:rFonts w:hint="eastAsia"/>
          <w:lang w:val="en-US" w:eastAsia="zh-CN"/>
        </w:rPr>
        <w:t>应用服务稳定上线发布，避免因迭代更新造成服务中断、业务无法正常开展、新增BUG等重大系统事故。</w:t>
      </w:r>
    </w:p>
    <w:p>
      <w:pPr>
        <w:pStyle w:val="4"/>
        <w:numPr>
          <w:ilvl w:val="0"/>
          <w:numId w:val="3"/>
        </w:numPr>
        <w:ind w:leftChars="0"/>
      </w:pPr>
      <w:bookmarkStart w:id="2" w:name="_Toc11680693"/>
      <w:r>
        <w:t>应用</w:t>
      </w:r>
      <w:r>
        <w:rPr>
          <w:rFonts w:hint="eastAsia"/>
        </w:rPr>
        <w:t>范围</w:t>
      </w:r>
      <w:bookmarkEnd w:id="2"/>
    </w:p>
    <w:p>
      <w:pPr>
        <w:ind w:left="210" w:leftChars="100"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本规范仅适用于环球优路</w:t>
      </w:r>
      <w:r>
        <w:rPr>
          <w:rFonts w:hint="eastAsia"/>
          <w:lang w:val="en-US" w:eastAsia="zh-CN"/>
        </w:rPr>
        <w:t>应用服务正式环境迭代更新发布场景，包含但不限于与优路业务相关的前端静态资源包、后端微服务以及购买的第三方应用服务。</w:t>
      </w:r>
    </w:p>
    <w:p>
      <w:pPr>
        <w:pStyle w:val="4"/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为适应互联网行业日新月异的特点，保证业务需求稳定快速迭代更新，正式环境发布周期定为按天为单位，常规版本发布时间区间为09:00--12:00，时间图谱如下：</w:t>
      </w:r>
    </w:p>
    <w:p>
      <w:r>
        <w:drawing>
          <wp:inline distT="0" distB="0" distL="114300" distR="114300">
            <wp:extent cx="5757545" cy="37592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特殊说明：业务高峰时间段以及前一小时禁止上线发布。</w:t>
      </w:r>
    </w:p>
    <w:p>
      <w:pPr>
        <w:pStyle w:val="4"/>
        <w:numPr>
          <w:ilvl w:val="0"/>
          <w:numId w:val="4"/>
        </w:numPr>
        <w:ind w:left="567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研发迭代内容明细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研发需提供完整的变更内容列表，以excel表格文件形式呈现，文件名为《2020-XX-XX正式发布XX服务changelist》，描述相较于上一次稳定版本后所有修改内容，包含但不限于一下几类：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前端：静态文件的新增、修改、删除，需列出文件名及代码库完整的路径，例如：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tbl>
      <w:tblPr>
        <w:tblStyle w:val="8"/>
        <w:tblW w:w="6327" w:type="dxa"/>
        <w:tblInd w:w="1293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0"/>
        <w:gridCol w:w="862"/>
        <w:gridCol w:w="1276"/>
        <w:gridCol w:w="342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服务名</w:t>
            </w:r>
          </w:p>
        </w:tc>
        <w:tc>
          <w:tcPr>
            <w:tcW w:w="8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类别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变更类型</w:t>
            </w:r>
          </w:p>
        </w:tc>
        <w:tc>
          <w:tcPr>
            <w:tcW w:w="34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XXX</w:t>
            </w:r>
          </w:p>
        </w:tc>
        <w:tc>
          <w:tcPr>
            <w:tcW w:w="86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</w:t>
            </w:r>
          </w:p>
        </w:tc>
        <w:tc>
          <w:tcPr>
            <w:tcW w:w="3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  <w:r>
              <w:rPr>
                <w:rStyle w:val="16"/>
                <w:lang w:val="en-US" w:eastAsia="zh-CN" w:bidi="ar"/>
              </w:rPr>
              <w:t>XX/XX/XX.js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</w:t>
            </w:r>
          </w:p>
        </w:tc>
        <w:tc>
          <w:tcPr>
            <w:tcW w:w="3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/XX/XX/XX.css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</w:t>
            </w:r>
          </w:p>
        </w:tc>
        <w:tc>
          <w:tcPr>
            <w:tcW w:w="3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/XX/XX/XX.css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</w:t>
            </w:r>
          </w:p>
        </w:tc>
        <w:tc>
          <w:tcPr>
            <w:tcW w:w="3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/XX/XX/XX.html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</w:t>
            </w:r>
          </w:p>
        </w:tc>
        <w:tc>
          <w:tcPr>
            <w:tcW w:w="34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/XX/XX/XX.css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微服务：代码文件的新增、修改、删除，配置文件的修改内容，例如：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tbl>
      <w:tblPr>
        <w:tblStyle w:val="8"/>
        <w:tblW w:w="6327" w:type="dxa"/>
        <w:tblInd w:w="1293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863"/>
        <w:gridCol w:w="1294"/>
        <w:gridCol w:w="342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服务名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类别</w:t>
            </w:r>
          </w:p>
        </w:tc>
        <w:tc>
          <w:tcPr>
            <w:tcW w:w="12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变更类型</w:t>
            </w:r>
          </w:p>
        </w:tc>
        <w:tc>
          <w:tcPr>
            <w:tcW w:w="3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5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XXX</w:t>
            </w:r>
          </w:p>
        </w:tc>
        <w:tc>
          <w:tcPr>
            <w:tcW w:w="86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/XX/XX/XX.xml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/XX/XX/XX.class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/XX/XX/XX.properties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/XX/XX/XX.java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/XX/XX/XX.java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4"/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测试完整性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测试需提供完整的接口测试、功能测试报告，包含TEST测试、UAT测试反馈结果，上线前至少进行一次全回归流程测试，未通过测试验证的代码禁止上线发布。</w:t>
      </w:r>
    </w:p>
    <w:p>
      <w:pPr>
        <w:pStyle w:val="4"/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流程合规性</w:t>
      </w:r>
    </w:p>
    <w:p>
      <w:pPr>
        <w:numPr>
          <w:ilvl w:val="1"/>
          <w:numId w:val="4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准备:  发布申请人一般以产品为主，需提供发布版本号、需求文档、流程审批人员信息</w:t>
      </w:r>
    </w:p>
    <w:p>
      <w:pPr>
        <w:numPr>
          <w:ilvl w:val="0"/>
          <w:numId w:val="0"/>
        </w:numPr>
        <w:ind w:left="1680" w:leftChars="8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研发负责人准备上线内容，即《2020-XX-XX正式发布XX服务changelist》、发布手册（发布步骤）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测试负责人准备测试相关报告</w:t>
      </w:r>
    </w:p>
    <w:p>
      <w:pPr>
        <w:numPr>
          <w:ilvl w:val="1"/>
          <w:numId w:val="4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申请：发布申请人发起OA审批流程，流程节点添加对应的人员信息</w:t>
      </w:r>
    </w:p>
    <w:p>
      <w:pPr>
        <w:numPr>
          <w:ilvl w:val="1"/>
          <w:numId w:val="4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审批：上线审批流程示意图如下，同时开放自定义，但关键节点不可去除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58180" cy="1752600"/>
            <wp:effectExtent l="0" t="0" r="1397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751195" cy="1535430"/>
            <wp:effectExtent l="0" t="0" r="190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</w:p>
    <w:p>
      <w:pPr>
        <w:numPr>
          <w:ilvl w:val="1"/>
          <w:numId w:val="4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</w:t>
      </w:r>
    </w:p>
    <w:p>
      <w:pPr>
        <w:numPr>
          <w:ilvl w:val="0"/>
          <w:numId w:val="0"/>
        </w:numPr>
        <w:ind w:left="1260" w:leftChars="4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6.4.1发布前：运维人员在收到审批完成的申请单时，需告知所有相关人员上线时间，及时  联系研发、测试做好上线准备</w:t>
      </w:r>
    </w:p>
    <w:p>
      <w:pPr>
        <w:numPr>
          <w:ilvl w:val="0"/>
          <w:numId w:val="0"/>
        </w:numPr>
        <w:ind w:left="1260" w:leftChars="3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6.4.2 发布中：运用自动化发布工具（jenkins）发布，尽量避免手工操作，多节点发布时需持续关注服务日志是否正常</w:t>
      </w:r>
    </w:p>
    <w:p>
      <w:pPr>
        <w:numPr>
          <w:ilvl w:val="0"/>
          <w:numId w:val="0"/>
        </w:numPr>
        <w:ind w:left="1260" w:leftChars="30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6.4.3 发布后：及时联系测试进行验证，验证无误后，通知相关人员本次发布已完成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快速回滚机制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当发布后业务出现重大事故，权限问题、流程问题等，经总监审批后，可快速回滚，如无特别说明，回滚版本默认为上一次可用的稳定版本，回滚后请相关人员再次进行系统可用性验证，事后总结问题所在，商议是否择期再次发布。</w:t>
      </w:r>
    </w:p>
    <w:p>
      <w:pPr>
        <w:pStyle w:val="4"/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归档可追溯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归档文件包含OA审批流程、变更内容changelist、SQL脚本、发布手册、测试报告等，归档时间为永久，如有条件可进行线上线下双备份，保证所有版本发布可追溯，为复盘提供有效的数据依据。</w:t>
      </w:r>
      <w:bookmarkStart w:id="3" w:name="_GoBack"/>
      <w:bookmarkEnd w:id="3"/>
    </w:p>
    <w:p>
      <w:pPr>
        <w:pStyle w:val="4"/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5" w:type="default"/>
      <w:headerReference r:id="rId4" w:type="even"/>
      <w:pgSz w:w="11906" w:h="16838"/>
      <w:pgMar w:top="1418" w:right="1418" w:bottom="1418" w:left="1418" w:header="737" w:footer="567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  <w:p>
    <w:pPr>
      <w:pStyle w:val="6"/>
      <w:pBdr>
        <w:top w:val="single" w:color="auto" w:sz="4" w:space="1"/>
      </w:pBdr>
      <w:rPr>
        <w:rFonts w:eastAsia="微软雅黑"/>
        <w:sz w:val="21"/>
        <w:szCs w:val="24"/>
      </w:rPr>
    </w:pPr>
    <w:r>
      <w:rPr>
        <w:rFonts w:hint="eastAsia" w:ascii="微软雅黑" w:hAnsi="微软雅黑" w:eastAsia="微软雅黑"/>
        <w:color w:val="000000" w:themeColor="text1"/>
        <w14:textFill>
          <w14:solidFill>
            <w14:schemeClr w14:val="tx1"/>
          </w14:solidFill>
        </w14:textFill>
      </w:rPr>
      <w:t>Copyright © 2005-20</w:t>
    </w:r>
    <w:r>
      <w:rPr>
        <w:rFonts w:hint="eastAsia" w:ascii="微软雅黑" w:hAnsi="微软雅黑" w:eastAsia="微软雅黑"/>
        <w:color w:val="000000" w:themeColor="text1"/>
        <w:lang w:val="en-US" w:eastAsia="zh-CN"/>
        <w14:textFill>
          <w14:solidFill>
            <w14:schemeClr w14:val="tx1"/>
          </w14:solidFill>
        </w14:textFill>
      </w:rPr>
      <w:t>20</w:t>
    </w:r>
    <w:r>
      <w:rPr>
        <w:rFonts w:ascii="微软雅黑" w:hAnsi="微软雅黑" w:eastAsia="微软雅黑"/>
        <w:color w:val="000000" w:themeColor="text1"/>
        <w14:textFill>
          <w14:solidFill>
            <w14:schemeClr w14:val="tx1"/>
          </w14:solidFill>
        </w14:textFill>
      </w:rPr>
      <w:t xml:space="preserve"> </w:t>
    </w:r>
    <w:r>
      <w:rPr>
        <w:rFonts w:hint="eastAsia" w:ascii="微软雅黑" w:hAnsi="微软雅黑" w:eastAsia="微软雅黑"/>
        <w:color w:val="000000" w:themeColor="text1"/>
        <w14:textFill>
          <w14:solidFill>
            <w14:schemeClr w14:val="tx1"/>
          </w14:solidFill>
        </w14:textFill>
      </w:rPr>
      <w:t>北京环球优路教育科技股份有限公司</w:t>
    </w:r>
    <w:r>
      <w:rPr>
        <w:rFonts w:ascii="微软雅黑" w:hAnsi="微软雅黑" w:eastAsia="微软雅黑"/>
        <w:color w:val="000000" w:themeColor="text1"/>
        <w14:textFill>
          <w14:solidFill>
            <w14:schemeClr w14:val="tx1"/>
          </w14:solidFill>
        </w14:textFill>
      </w:rPr>
      <w:tab/>
    </w:r>
    <w:r>
      <w:rPr>
        <w:rFonts w:ascii="微软雅黑" w:hAnsi="微软雅黑" w:eastAsia="微软雅黑"/>
        <w:color w:val="000000" w:themeColor="text1"/>
        <w14:textFill>
          <w14:solidFill>
            <w14:schemeClr w14:val="tx1"/>
          </w14:solidFill>
        </w14:textFill>
      </w:rPr>
      <w:tab/>
    </w:r>
    <w:r>
      <w:rPr>
        <w:rFonts w:ascii="微软雅黑" w:hAnsi="微软雅黑" w:eastAsia="微软雅黑"/>
        <w:color w:val="000000" w:themeColor="text1"/>
        <w14:textFill>
          <w14:solidFill>
            <w14:schemeClr w14:val="tx1"/>
          </w14:solidFill>
        </w14:textFill>
      </w:rPr>
      <w:tab/>
    </w:r>
    <w:sdt>
      <w:sdtPr>
        <w:id w:val="-1361963784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sdtContent>
    </w:sdt>
  </w:p>
  <w:p>
    <w:pPr>
      <w:pStyle w:val="6"/>
      <w:pBdr>
        <w:top w:val="single" w:color="auto" w:sz="4" w:space="1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ascii="微软雅黑" w:hAnsi="微软雅黑"/>
      </w:rPr>
    </w:pPr>
    <w:r>
      <w:rPr>
        <w:rFonts w:ascii="微软雅黑" w:hAnsi="微软雅黑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4882515</wp:posOffset>
          </wp:positionH>
          <wp:positionV relativeFrom="paragraph">
            <wp:posOffset>-157480</wp:posOffset>
          </wp:positionV>
          <wp:extent cx="919480" cy="318770"/>
          <wp:effectExtent l="0" t="0" r="0" b="508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9413" cy="3189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hAnsi="微软雅黑"/>
      </w:rPr>
      <w:tab/>
    </w:r>
    <w:r>
      <w:rPr>
        <w:rFonts w:ascii="微软雅黑" w:hAnsi="微软雅黑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1495844" o:spid="_x0000_s4097" o:spt="136" type="#_x0000_t136" style="position:absolute;left:0pt;height:174.35pt;width:46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环球优路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6D3349"/>
    <w:multiLevelType w:val="singleLevel"/>
    <w:tmpl w:val="B86D334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ED25DF4"/>
    <w:multiLevelType w:val="multilevel"/>
    <w:tmpl w:val="2ED25DF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3118"/>
        </w:tabs>
        <w:ind w:left="3118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42390118"/>
    <w:multiLevelType w:val="multilevel"/>
    <w:tmpl w:val="42390118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63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63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63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63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63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63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63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630" w:leftChars="0" w:firstLine="0" w:firstLineChars="0"/>
      </w:pPr>
      <w:rPr>
        <w:rFonts w:hint="default"/>
      </w:rPr>
    </w:lvl>
  </w:abstractNum>
  <w:abstractNum w:abstractNumId="3">
    <w:nsid w:val="62E8FDBD"/>
    <w:multiLevelType w:val="singleLevel"/>
    <w:tmpl w:val="62E8FDBD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C0F47"/>
    <w:rsid w:val="101820BF"/>
    <w:rsid w:val="12446A7F"/>
    <w:rsid w:val="1AC719A7"/>
    <w:rsid w:val="24441889"/>
    <w:rsid w:val="2680439C"/>
    <w:rsid w:val="30675726"/>
    <w:rsid w:val="36082024"/>
    <w:rsid w:val="37C94CC8"/>
    <w:rsid w:val="43694A12"/>
    <w:rsid w:val="49BA1BAA"/>
    <w:rsid w:val="58C95249"/>
    <w:rsid w:val="72FC0F47"/>
    <w:rsid w:val="7B6B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pageBreakBefore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567"/>
        <w:tab w:val="clear" w:pos="3118"/>
      </w:tabs>
      <w:spacing w:before="260" w:after="260" w:line="416" w:lineRule="auto"/>
      <w:ind w:left="567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1"/>
    <w:qFormat/>
    <w:uiPriority w:val="0"/>
    <w:pPr>
      <w:spacing w:after="120" w:line="360" w:lineRule="auto"/>
      <w:ind w:firstLine="200" w:firstLineChars="200"/>
    </w:pPr>
    <w:rPr>
      <w:szCs w:val="21"/>
    </w:rPr>
  </w:style>
  <w:style w:type="paragraph" w:styleId="5">
    <w:name w:val="toa heading"/>
    <w:basedOn w:val="1"/>
    <w:next w:val="1"/>
    <w:semiHidden/>
    <w:qFormat/>
    <w:uiPriority w:val="0"/>
    <w:pPr>
      <w:spacing w:before="120"/>
    </w:pPr>
    <w:rPr>
      <w:rFonts w:ascii="Arial" w:hAnsi="Arial" w:cs="Arial"/>
      <w:sz w:val="24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文档标题"/>
    <w:next w:val="1"/>
    <w:qFormat/>
    <w:uiPriority w:val="0"/>
    <w:pPr>
      <w:jc w:val="center"/>
    </w:pPr>
    <w:rPr>
      <w:rFonts w:ascii="Arial" w:hAnsi="Arial" w:eastAsia="微软雅黑" w:cs="Arial"/>
      <w:b/>
      <w:bCs/>
      <w:kern w:val="2"/>
      <w:sz w:val="44"/>
      <w:szCs w:val="32"/>
      <w:lang w:val="en-US" w:eastAsia="zh-CN" w:bidi="ar-SA"/>
    </w:rPr>
  </w:style>
  <w:style w:type="paragraph" w:customStyle="1" w:styleId="12">
    <w:name w:val="公司署名"/>
    <w:next w:val="1"/>
    <w:qFormat/>
    <w:uiPriority w:val="0"/>
    <w:pPr>
      <w:jc w:val="center"/>
    </w:pPr>
    <w:rPr>
      <w:rFonts w:ascii="Times New Roman" w:hAnsi="Times New Roman" w:eastAsia="微软雅黑" w:cs="Times New Roman"/>
      <w:kern w:val="2"/>
      <w:sz w:val="28"/>
      <w:szCs w:val="24"/>
      <w:lang w:val="en-US" w:eastAsia="zh-CN" w:bidi="ar-SA"/>
    </w:rPr>
  </w:style>
  <w:style w:type="paragraph" w:customStyle="1" w:styleId="13">
    <w:name w:val="目录"/>
    <w:basedOn w:val="5"/>
    <w:next w:val="1"/>
    <w:qFormat/>
    <w:uiPriority w:val="0"/>
    <w:pPr>
      <w:pageBreakBefore/>
      <w:ind w:left="420"/>
      <w:jc w:val="center"/>
    </w:pPr>
    <w:rPr>
      <w:b/>
      <w:sz w:val="52"/>
    </w:rPr>
  </w:style>
  <w:style w:type="table" w:customStyle="1" w:styleId="14">
    <w:name w:val="表格-首行灰色"/>
    <w:basedOn w:val="9"/>
    <w:qFormat/>
    <w:uiPriority w:val="0"/>
    <w:rPr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  <w:tcPr>
        <w:shd w:val="clear" w:color="auto" w:fill="CCCCCC"/>
      </w:tcPr>
    </w:tblStyle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font51"/>
    <w:basedOn w:val="10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2020-12-15T10:06:00Z</dcterms:created>
  <dc:creator>Administrator</dc:creator>
  <cp:lastModifiedBy>Administrator</cp:lastModifiedBy>
  <dcterms:modified xsi:type="dcterms:W3CDTF">2021-01-26T02:50:44Z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