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3E1E2">
      <w:pPr>
        <w:spacing w:before="80" w:after="80" w:line="240" w:lineRule="auto"/>
        <w:jc w:val="center"/>
        <w:rPr>
          <w:sz w:val="24"/>
          <w:szCs w:val="24"/>
        </w:rPr>
      </w:pPr>
      <w:r>
        <w:rPr>
          <w:rFonts w:ascii="Times New Roman" w:hAnsi="Times New Roman" w:eastAsia="Times New Roman" w:cs="Times New Roman"/>
          <w:b/>
          <w:bCs/>
          <w:sz w:val="24"/>
          <w:szCs w:val="24"/>
        </w:rPr>
        <w:t xml:space="preserve">ỨNG DỤNG NỀN TẢNG HỒ SƠ ĐIỆN TỬ TÍCH HỢP ĐÁNH GIÁ HỌC THUẬT TRONG ĐÀO TẠO THIẾT KẾ ĐỒ HỌA: BÀI TOÁN TỪ UEF DESIGN GALLERY </w:t>
      </w:r>
    </w:p>
    <w:p w14:paraId="65C1785D">
      <w:pPr>
        <w:spacing w:before="40" w:after="40" w:line="240" w:lineRule="auto"/>
        <w:jc w:val="center"/>
        <w:rPr>
          <w:b w:val="0"/>
          <w:bCs w:val="0"/>
          <w:i w:val="0"/>
          <w:iCs w:val="0"/>
          <w:sz w:val="24"/>
          <w:szCs w:val="24"/>
        </w:rPr>
      </w:pPr>
      <w:r>
        <w:rPr>
          <w:rFonts w:ascii="Times New Roman" w:hAnsi="Times New Roman" w:eastAsia="Times New Roman" w:cs="Times New Roman"/>
          <w:b w:val="0"/>
          <w:bCs w:val="0"/>
          <w:i w:val="0"/>
          <w:iCs w:val="0"/>
          <w:sz w:val="24"/>
          <w:szCs w:val="24"/>
        </w:rPr>
        <w:t>Dương Thị Thanh Thảo | thaodtt22@uef.edu.vn</w:t>
      </w:r>
    </w:p>
    <w:p w14:paraId="49072AAC">
      <w:pPr>
        <w:spacing w:before="0" w:after="40" w:line="240" w:lineRule="auto"/>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Khoa Công Nghệ Thông Tin, Trường Đại học Kinh tế - Tài chính Thành phố Hồ Chí Minh </w:t>
      </w:r>
    </w:p>
    <w:p w14:paraId="0C213809">
      <w:pPr>
        <w:spacing w:before="40" w:after="40" w:line="240" w:lineRule="auto"/>
        <w:jc w:val="center"/>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i w:val="0"/>
          <w:iCs w:val="0"/>
          <w:sz w:val="24"/>
          <w:szCs w:val="24"/>
          <w:lang w:val="en-US"/>
        </w:rPr>
        <w:t xml:space="preserve">Ths. Hoàng Văn Hiếu </w:t>
      </w:r>
      <w:r>
        <w:rPr>
          <w:rFonts w:ascii="Times New Roman" w:hAnsi="Times New Roman" w:eastAsia="Times New Roman" w:cs="Times New Roman"/>
          <w:b w:val="0"/>
          <w:bCs w:val="0"/>
          <w:i w:val="0"/>
          <w:iCs w:val="0"/>
          <w:sz w:val="24"/>
          <w:szCs w:val="24"/>
        </w:rPr>
        <w:t xml:space="preserve"> | </w:t>
      </w:r>
      <w:r>
        <w:rPr>
          <w:rFonts w:hint="default" w:ascii="Times New Roman" w:hAnsi="Times New Roman" w:eastAsia="Times New Roman" w:cs="Times New Roman"/>
          <w:b w:val="0"/>
          <w:bCs w:val="0"/>
          <w:i w:val="0"/>
          <w:iCs w:val="0"/>
          <w:sz w:val="24"/>
          <w:szCs w:val="24"/>
          <w:lang w:val="en-US"/>
        </w:rPr>
        <w:t>hieuhv@uef.edu.vn</w:t>
      </w:r>
      <w:r>
        <w:rPr>
          <w:rFonts w:ascii="Times New Roman" w:hAnsi="Times New Roman" w:eastAsia="Times New Roman" w:cs="Times New Roman"/>
          <w:b w:val="0"/>
          <w:bCs w:val="0"/>
          <w:i w:val="0"/>
          <w:iCs w:val="0"/>
          <w:sz w:val="24"/>
          <w:szCs w:val="24"/>
        </w:rPr>
        <w:fldChar w:fldCharType="begin"/>
      </w:r>
      <w:r>
        <w:rPr>
          <w:rFonts w:ascii="Times New Roman" w:hAnsi="Times New Roman" w:eastAsia="Times New Roman" w:cs="Times New Roman"/>
          <w:b w:val="0"/>
          <w:bCs w:val="0"/>
          <w:i w:val="0"/>
          <w:iCs w:val="0"/>
          <w:sz w:val="24"/>
          <w:szCs w:val="24"/>
        </w:rPr>
        <w:instrText xml:space="preserve"> HYPERLINK "mailto:thaodtt22@uef.edu.vn" </w:instrText>
      </w:r>
      <w:r>
        <w:rPr>
          <w:rFonts w:ascii="Times New Roman" w:hAnsi="Times New Roman" w:eastAsia="Times New Roman" w:cs="Times New Roman"/>
          <w:b w:val="0"/>
          <w:bCs w:val="0"/>
          <w:i w:val="0"/>
          <w:iCs w:val="0"/>
          <w:sz w:val="24"/>
          <w:szCs w:val="24"/>
        </w:rPr>
        <w:fldChar w:fldCharType="separate"/>
      </w:r>
      <w:r>
        <w:rPr>
          <w:rFonts w:ascii="Times New Roman" w:hAnsi="Times New Roman" w:eastAsia="Times New Roman" w:cs="Times New Roman"/>
          <w:b w:val="0"/>
          <w:bCs w:val="0"/>
          <w:i w:val="0"/>
          <w:iCs w:val="0"/>
          <w:sz w:val="24"/>
          <w:szCs w:val="24"/>
        </w:rPr>
        <w:fldChar w:fldCharType="end"/>
      </w:r>
    </w:p>
    <w:p w14:paraId="7EB7206E">
      <w:pPr>
        <w:spacing w:before="40" w:after="40" w:line="240" w:lineRule="auto"/>
        <w:jc w:val="center"/>
        <w:rPr>
          <w:rFonts w:hint="default" w:ascii="Times New Roman" w:hAnsi="Times New Roman" w:eastAsia="Times New Roman" w:cs="Times New Roman"/>
          <w:i w:val="0"/>
          <w:iCs w:val="0"/>
          <w:sz w:val="20"/>
          <w:szCs w:val="20"/>
          <w:lang w:val="en-US"/>
        </w:rPr>
      </w:pPr>
      <w:r>
        <w:rPr>
          <w:rFonts w:ascii="Times New Roman" w:hAnsi="Times New Roman" w:eastAsia="Times New Roman" w:cs="Times New Roman"/>
          <w:i/>
          <w:iCs/>
          <w:sz w:val="24"/>
          <w:szCs w:val="24"/>
          <w:rtl w:val="0"/>
        </w:rPr>
        <w:t xml:space="preserve">Khoa </w:t>
      </w:r>
      <w:r>
        <w:rPr>
          <w:rFonts w:hint="default" w:ascii="Times New Roman" w:hAnsi="Times New Roman" w:eastAsia="Times New Roman" w:cs="Times New Roman"/>
          <w:i/>
          <w:iCs/>
          <w:sz w:val="24"/>
          <w:szCs w:val="24"/>
          <w:rtl w:val="0"/>
          <w:lang w:val="en-US"/>
        </w:rPr>
        <w:t>Công Nghệ Thông Tin</w:t>
      </w:r>
      <w:r>
        <w:rPr>
          <w:rFonts w:ascii="Times New Roman" w:hAnsi="Times New Roman" w:eastAsia="Times New Roman" w:cs="Times New Roman"/>
          <w:i/>
          <w:iCs/>
          <w:sz w:val="24"/>
          <w:szCs w:val="24"/>
          <w:rtl w:val="0"/>
        </w:rPr>
        <w:t>, Trường Đại học Kinh tế - Tài chính Thành phố Hồ Chí Minh</w:t>
      </w:r>
    </w:p>
    <w:p w14:paraId="4F7739BD">
      <w:pPr>
        <w:spacing w:before="0" w:after="40" w:line="240" w:lineRule="auto"/>
        <w:jc w:val="center"/>
        <w:rPr>
          <w:rFonts w:ascii="Times New Roman" w:hAnsi="Times New Roman" w:eastAsia="Times New Roman" w:cs="Times New Roman"/>
          <w:i/>
          <w:iCs/>
          <w:sz w:val="20"/>
          <w:szCs w:val="20"/>
        </w:rPr>
      </w:pPr>
    </w:p>
    <w:p w14:paraId="29FFE78D">
      <w:pPr>
        <w:spacing w:before="80" w:after="80" w:line="240" w:lineRule="auto"/>
        <w:jc w:val="left"/>
      </w:pPr>
      <w:r>
        <w:rPr>
          <w:rFonts w:ascii="Times New Roman" w:hAnsi="Times New Roman" w:eastAsia="Times New Roman" w:cs="Times New Roman"/>
          <w:b/>
          <w:bCs/>
          <w:sz w:val="20"/>
          <w:szCs w:val="20"/>
        </w:rPr>
        <w:t>TÓM TẮT</w:t>
      </w:r>
    </w:p>
    <w:p w14:paraId="564D1BC8">
      <w:pPr>
        <w:spacing w:before="120" w:after="120" w:line="360" w:lineRule="auto"/>
        <w:ind w:firstLine="720"/>
        <w:jc w:val="both"/>
      </w:pPr>
      <w:r>
        <w:rPr>
          <w:rFonts w:ascii="Times New Roman" w:hAnsi="Times New Roman" w:eastAsia="Times New Roman" w:cs="Times New Roman"/>
          <w:b w:val="0"/>
          <w:bCs w:val="0"/>
          <w:sz w:val="20"/>
          <w:szCs w:val="20"/>
        </w:rPr>
        <w:t>Bài viết đặt câu hỏi: liệu một cơ sở đào tạo ngành Thiết kế Đồ họa có thể tự xây dựng một nền tảng hồ sơ điện tử đáp ứng đồng thời ba nhu cầu — sư phạm, bảo vệ bản quyền và kết nối thị trường lao động — thay vì buộc sinh viên phải xoay sở giữa nhiều công cụ rời rạc? Từ câu hỏi đó, nghiên cứu đề xuất và kiểm thử mô hình UEF Design Gallery tại Trường Đại học Kinh tế - Tài chính TP.HCM (UEF). Qua khảo sát thực tế với sinh viên chuyên ngành Thiết kế Đồ họa và trao đổi trực tiếp với giảng viên, nhà tuyển dụng, bài viết chỉ ra ba điểm nghẽn cốt lõi mà các công cụ hiện có không giải quyết được: thiếu không gian đánh giá an toàn và vắng bóng dấu xác nhận học thuật khi sinh viên ứng tuyển. Kiến trúc hệ thống được trình bày qua ba phân hệ cơ sở dữ liệu chức năng. Kết quả cho thấy mô hình này khả thi về mặt kỹ thuật, phù hợp tiêu chuẩn AUN-QA, và có tiềm năng trở thành khung tham chiếu cho các trường đại học tư thục tại Việt Nam đang tìm hướng chuyển đổi số chủ động.</w:t>
      </w:r>
    </w:p>
    <w:p w14:paraId="48F8151B">
      <w:pPr>
        <w:spacing w:after="0" w:line="240" w:lineRule="auto"/>
        <w:jc w:val="both"/>
        <w:rPr>
          <w:rFonts w:ascii="Times New Roman" w:hAnsi="Times New Roman" w:eastAsia="Times New Roman" w:cs="Times New Roman"/>
          <w:b w:val="0"/>
          <w:bCs w:val="0"/>
          <w:i/>
          <w:iCs/>
          <w:sz w:val="20"/>
          <w:szCs w:val="20"/>
        </w:rPr>
      </w:pPr>
      <w:r>
        <w:rPr>
          <w:rFonts w:ascii="Times New Roman" w:hAnsi="Times New Roman" w:eastAsia="Times New Roman" w:cs="Times New Roman"/>
          <w:b/>
          <w:bCs/>
          <w:sz w:val="20"/>
          <w:szCs w:val="20"/>
        </w:rPr>
        <w:t>Từ khoá:</w:t>
      </w:r>
      <w:r>
        <w:rPr>
          <w:rFonts w:ascii="Times New Roman" w:hAnsi="Times New Roman" w:eastAsia="Times New Roman" w:cs="Times New Roman"/>
          <w:b w:val="0"/>
          <w:bCs w:val="0"/>
          <w:sz w:val="20"/>
          <w:szCs w:val="20"/>
        </w:rPr>
        <w:t xml:space="preserve"> </w:t>
      </w:r>
      <w:r>
        <w:rPr>
          <w:rFonts w:ascii="Times New Roman" w:hAnsi="Times New Roman" w:eastAsia="Times New Roman" w:cs="Times New Roman"/>
          <w:b w:val="0"/>
          <w:bCs w:val="0"/>
          <w:i/>
          <w:iCs/>
          <w:sz w:val="20"/>
          <w:szCs w:val="20"/>
        </w:rPr>
        <w:t>Hồ sơ điện tử, thiết kế đồ họa, UEF Design Gallery, đánh giá học thuật, bản quyền số.</w:t>
      </w:r>
    </w:p>
    <w:p w14:paraId="113074BE">
      <w:pPr>
        <w:spacing w:after="0" w:line="240" w:lineRule="auto"/>
        <w:jc w:val="both"/>
        <w:rPr>
          <w:rFonts w:ascii="Times New Roman" w:hAnsi="Times New Roman" w:eastAsia="Times New Roman" w:cs="Times New Roman"/>
          <w:b w:val="0"/>
          <w:bCs w:val="0"/>
          <w:sz w:val="20"/>
          <w:szCs w:val="20"/>
        </w:rPr>
      </w:pPr>
    </w:p>
    <w:p w14:paraId="05C25EDF">
      <w:pPr>
        <w:spacing w:before="120" w:after="80" w:line="240" w:lineRule="auto"/>
        <w:jc w:val="center"/>
        <w:rPr>
          <w:sz w:val="24"/>
          <w:szCs w:val="24"/>
        </w:rPr>
      </w:pPr>
      <w:r>
        <w:rPr>
          <w:rFonts w:ascii="Times New Roman" w:hAnsi="Times New Roman" w:eastAsia="Times New Roman" w:cs="Times New Roman"/>
          <w:b/>
          <w:bCs/>
          <w:sz w:val="24"/>
          <w:szCs w:val="24"/>
        </w:rPr>
        <w:t>APPLICATION OF INTEGRATED ACADEMIC EVALUATION E-PORTFOLIO PLATFORMS IN GRAPHIC DESIGN EDUCATION: THE CASE OF UEF DESIGN GALLERY</w:t>
      </w:r>
    </w:p>
    <w:p w14:paraId="6C7F121B">
      <w:pPr>
        <w:spacing w:before="80" w:after="80" w:line="240" w:lineRule="auto"/>
        <w:jc w:val="left"/>
      </w:pPr>
      <w:r>
        <w:rPr>
          <w:rFonts w:ascii="Times New Roman" w:hAnsi="Times New Roman" w:eastAsia="Times New Roman" w:cs="Times New Roman"/>
          <w:b/>
          <w:bCs/>
          <w:sz w:val="20"/>
          <w:szCs w:val="20"/>
        </w:rPr>
        <w:t>ABSTRACT</w:t>
      </w:r>
    </w:p>
    <w:p w14:paraId="63F8D042">
      <w:pPr>
        <w:spacing w:after="0" w:line="240" w:lineRule="auto"/>
        <w:jc w:val="both"/>
        <w:rPr>
          <w:sz w:val="20"/>
          <w:szCs w:val="20"/>
        </w:rPr>
      </w:pPr>
      <w:r>
        <w:rPr>
          <w:rFonts w:ascii="Times New Roman" w:hAnsi="Times New Roman" w:eastAsia="Times New Roman" w:cs="Times New Roman"/>
          <w:b w:val="0"/>
          <w:bCs w:val="0"/>
          <w:sz w:val="20"/>
          <w:szCs w:val="20"/>
        </w:rPr>
        <w:t>This paper asks whether a graphic design institution can build an internal e-portfolio platform that simultaneously serves three purposes — pedagogy, labour-market connection, and academic transparency — rather than leaving students to juggle fragmented tools. Starting from that question, the study proposes and tests the UEF Design Gallery model at the University of Economics and Finance, Ho Chi Minh City (UEF). Drawing on a survey of graphic design students and direct conversations with lecturers and employers, the paper identifies three core bottlenecks that existing tools fail to address: the absence of a safe evaluation environment, the lack of industry-specific portfolio customisation tools, and the absence of institutional endorsement when students apply for jobs. The system architecture is presented through three core functional subsystems. Findings indicate that the model is technically feasible, aligns with AUN-QA standards, and has the potential to serve as a reference framework for Vietnamese private universities pursuing proactive digital transformation.</w:t>
      </w:r>
    </w:p>
    <w:p w14:paraId="2527495C">
      <w:pPr>
        <w:spacing w:line="240" w:lineRule="auto"/>
      </w:pPr>
    </w:p>
    <w:p w14:paraId="004FB0A7">
      <w:pPr>
        <w:spacing w:after="0" w:line="240" w:lineRule="auto"/>
        <w:jc w:val="both"/>
      </w:pPr>
      <w:r>
        <w:rPr>
          <w:rFonts w:ascii="Times New Roman" w:hAnsi="Times New Roman" w:eastAsia="Times New Roman" w:cs="Times New Roman"/>
          <w:b/>
          <w:bCs/>
          <w:sz w:val="20"/>
          <w:szCs w:val="20"/>
        </w:rPr>
        <w:t>Keywords:</w:t>
      </w:r>
      <w:r>
        <w:rPr>
          <w:rFonts w:ascii="Times New Roman" w:hAnsi="Times New Roman" w:eastAsia="Times New Roman" w:cs="Times New Roman"/>
          <w:b w:val="0"/>
          <w:bCs w:val="0"/>
          <w:sz w:val="20"/>
          <w:szCs w:val="20"/>
        </w:rPr>
        <w:t xml:space="preserve"> </w:t>
      </w:r>
      <w:r>
        <w:rPr>
          <w:rFonts w:ascii="Times New Roman" w:hAnsi="Times New Roman" w:eastAsia="Times New Roman" w:cs="Times New Roman"/>
          <w:b w:val="0"/>
          <w:bCs w:val="0"/>
          <w:i/>
          <w:iCs/>
          <w:color w:val="000000"/>
          <w:sz w:val="20"/>
          <w:szCs w:val="20"/>
        </w:rPr>
        <w:t>E-portfolio, graphic design education, UEF Design Gallery, academic assessment, digital copyright.</w:t>
      </w:r>
    </w:p>
    <w:p w14:paraId="09B5C157">
      <w:pPr>
        <w:spacing w:line="240" w:lineRule="auto"/>
        <w:sectPr>
          <w:type w:val="continuous"/>
          <w:pgSz w:w="11906" w:h="16838"/>
          <w:pgMar w:top="1418" w:right="1134" w:bottom="1418" w:left="1701" w:header="0" w:footer="0" w:gutter="0"/>
          <w:cols w:space="720" w:num="1"/>
          <w:formProt w:val="0"/>
          <w:docGrid w:linePitch="360" w:charSpace="0"/>
        </w:sectPr>
      </w:pPr>
    </w:p>
    <w:p w14:paraId="23948B9E">
      <w:pPr>
        <w:spacing w:before="80" w:after="80" w:line="240" w:lineRule="auto"/>
        <w:jc w:val="left"/>
      </w:pPr>
      <w:r>
        <w:rPr>
          <w:rFonts w:ascii="Times New Roman" w:hAnsi="Times New Roman" w:eastAsia="Times New Roman" w:cs="Times New Roman"/>
          <w:b/>
          <w:bCs/>
          <w:sz w:val="20"/>
          <w:szCs w:val="20"/>
        </w:rPr>
        <w:t>1. GIỚI THIỆU</w:t>
      </w:r>
    </w:p>
    <w:p w14:paraId="67DAF5D8">
      <w:pPr>
        <w:spacing w:before="80" w:after="80" w:line="240" w:lineRule="auto"/>
        <w:jc w:val="left"/>
      </w:pPr>
      <w:r>
        <w:rPr>
          <w:rFonts w:ascii="Times New Roman" w:hAnsi="Times New Roman" w:eastAsia="Times New Roman" w:cs="Times New Roman"/>
          <w:b/>
          <w:bCs/>
          <w:sz w:val="20"/>
          <w:szCs w:val="20"/>
        </w:rPr>
        <w:t xml:space="preserve">1.1. Tính cấp thiết: Khoảng trống số trong đào tạo ngành </w:t>
      </w:r>
      <w:r>
        <w:rPr>
          <w:rFonts w:hint="default" w:ascii="Times New Roman" w:hAnsi="Times New Roman" w:eastAsia="Times New Roman" w:cs="Times New Roman"/>
          <w:b/>
          <w:bCs/>
          <w:sz w:val="20"/>
          <w:szCs w:val="20"/>
          <w:lang w:val="en-US"/>
        </w:rPr>
        <w:t>thiết kế đồ họa</w:t>
      </w:r>
      <w:r>
        <w:rPr>
          <w:rFonts w:ascii="Times New Roman" w:hAnsi="Times New Roman" w:eastAsia="Times New Roman" w:cs="Times New Roman"/>
          <w:b/>
          <w:bCs/>
          <w:sz w:val="20"/>
          <w:szCs w:val="20"/>
        </w:rPr>
        <w:t xml:space="preserve"> và áp lực thị trường</w:t>
      </w:r>
    </w:p>
    <w:p w14:paraId="40556D56">
      <w:pPr>
        <w:spacing w:after="0" w:line="240" w:lineRule="auto"/>
        <w:jc w:val="both"/>
        <w:rPr>
          <w:rFonts w:ascii="Times New Roman" w:hAnsi="Times New Roman" w:eastAsia="Times New Roman" w:cs="Times New Roman"/>
          <w:b w:val="0"/>
          <w:bCs w:val="0"/>
          <w:sz w:val="20"/>
          <w:szCs w:val="20"/>
        </w:rPr>
      </w:pPr>
      <w:r>
        <w:rPr>
          <w:rFonts w:ascii="Times New Roman" w:hAnsi="Times New Roman" w:eastAsia="Times New Roman" w:cs="Times New Roman"/>
          <w:b w:val="0"/>
          <w:bCs w:val="0"/>
          <w:sz w:val="20"/>
          <w:szCs w:val="20"/>
        </w:rPr>
        <w:t>Hiện nay, nhiều trường đại học đào tạo ngành sáng tạo đang dần thay đổi cách đánh giá sinh viên: thay vì chỉ chấm điểm bài nộp cuối kỳ, họ bắt đầu nhìn vào cả quá trình — từ phác thảo đầu tiên, những lần thất bại và chỉnh sửa, đến sản phẩm hoàn chỉnh. Đây không đơn thuần là thay đổi hình thức thi cử, mà là sự dịch chuyển trong quan niệm: năng lực của một nhà thiết kế không thể hiện đầy đủ qua một bài kiểm tra, mà cần được chứng minh qua chuỗi quyết định sáng tạo kéo dài suốt một học kỳ, một năm học, thậm chí toàn bộ khóa học. Sinh viên lúc này không chỉ học để lấy điểm mà học để tích lũy một hồ sơ năng lực thực sự có thể kiểm chứng và sử dụng được sau khi ra trường.</w:t>
      </w:r>
    </w:p>
    <w:p w14:paraId="6802AE17">
      <w:pPr>
        <w:spacing w:after="0" w:line="240" w:lineRule="auto"/>
        <w:jc w:val="both"/>
      </w:pPr>
      <w:r>
        <w:rPr>
          <w:rFonts w:ascii="Times New Roman" w:hAnsi="Times New Roman" w:eastAsia="Times New Roman" w:cs="Times New Roman"/>
          <w:b w:val="0"/>
          <w:bCs w:val="0"/>
          <w:sz w:val="20"/>
          <w:szCs w:val="20"/>
        </w:rPr>
        <w:t>Đặc biệt đối với khối ngành Thiết kế Đồ họa, hồ sơ năng lực không chỉ là một tài liệu đính kèm khi xin việc sau tốt nghiệp mà là công cụ định danh nghề nghiệp cốt lõi, là tiếng nói đại diện cho tư duy thẩm mỹ và kỹ năng kỹ thuật của nhà thiết kế. Tại Việt Nam, bối cảnh này càng trở nên cấp thiết hơn khi thị trường Thiết kế Đồ họa ước tính đang đối mặt với sự thiếu hụt gần 30.000 đến 60.000 nhà thiết kế có tay nghề cao vào năm 2030,</w:t>
      </w:r>
      <w:r>
        <w:rPr>
          <w:rFonts w:ascii="Times New Roman" w:hAnsi="Times New Roman" w:eastAsia="Times New Roman" w:cs="Times New Roman"/>
          <w:sz w:val="16"/>
          <w:szCs w:val="16"/>
          <w:vertAlign w:val="superscript"/>
        </w:rPr>
        <w:t>[10]</w:t>
      </w:r>
      <w:r>
        <w:rPr>
          <w:rFonts w:ascii="Times New Roman" w:hAnsi="Times New Roman" w:eastAsia="Times New Roman" w:cs="Times New Roman"/>
          <w:sz w:val="20"/>
          <w:szCs w:val="20"/>
        </w:rPr>
        <w:t xml:space="preserve"> trong khi nhiều cơ sở đào tạo vẫn đang loay hoay điều chỉnh chương trình và phương pháp đánh giá theo chuẩn toàn cầu.</w:t>
      </w:r>
    </w:p>
    <w:p w14:paraId="27F686D2">
      <w:pPr>
        <w:spacing w:after="0" w:line="240" w:lineRule="auto"/>
        <w:jc w:val="both"/>
      </w:pPr>
      <w:r>
        <w:rPr>
          <w:rFonts w:ascii="Times New Roman" w:hAnsi="Times New Roman" w:eastAsia="Times New Roman" w:cs="Times New Roman"/>
          <w:b w:val="0"/>
          <w:bCs w:val="0"/>
          <w:sz w:val="20"/>
          <w:szCs w:val="20"/>
        </w:rPr>
        <w:t>Phân tích sâu hơn về bối cảnh kinh tế vĩ mô, thị trường đồ họa máy tính và thiết kế tại Việt Nam đang trải qua giai đoạn bùng nổ chưa từng có. Theo các báo cáo nghiên cứu thị trường, quy mô thị trường đồ họa máy tính tại Việt Nam hiện được định giá khoảng 1,2 tỷ USD và dự kiến đạt mức 1,84 tỷ USD vào năm 2030, với tốc độ tăng trưởng kép hàng năm đạt 5,0%.</w:t>
      </w:r>
      <w:r>
        <w:rPr>
          <w:rFonts w:ascii="Times New Roman" w:hAnsi="Times New Roman" w:eastAsia="Times New Roman" w:cs="Times New Roman"/>
          <w:sz w:val="16"/>
          <w:szCs w:val="16"/>
          <w:vertAlign w:val="superscript"/>
        </w:rPr>
        <w:t>[11]</w:t>
      </w:r>
      <w:r>
        <w:rPr>
          <w:rFonts w:ascii="Times New Roman" w:hAnsi="Times New Roman" w:eastAsia="Times New Roman" w:cs="Times New Roman"/>
          <w:sz w:val="20"/>
          <w:szCs w:val="20"/>
        </w:rPr>
        <w:t xml:space="preserve"> Sự mở rộng mạnh mẽ này được thúc đẩy bởi sự gia tăng nhu cầu sáng tạo nội dung số, sự phát triển vũ bão của ngành công nghiệp trò chơi điện tử (được dự báo mang lại doanh thu 1,5 tỷ USD), và các chiến dịch chuyển đổi số toàn diện của doanh nghiệp vừa và nhỏ. Sự dịch chuyển của các ngành công nghiệp sản xuất và dịch vụ số hóa sang Đông Nam Á càng làm tăng áp lực lên nguồn cung nhân lực. Bất chấp tiềm năng to lớn, thị trường đang chứng kiến một nghịch lý: nguồn cung lao động phổ thông thì dồi dào, nhưng lại thiếu hụt trầm trọng các chuyên gia sở hữu tư duy thiết kế hệ thống, khả năng mô hình hóa 3D, thiết kế giao diện/trải nghiệm người dùng và tư duy nghệ thuật số độc bản.</w:t>
      </w:r>
    </w:p>
    <w:p w14:paraId="581C5C50">
      <w:pPr>
        <w:spacing w:after="0" w:line="240" w:lineRule="auto"/>
        <w:jc w:val="both"/>
      </w:pPr>
      <w:r>
        <w:rPr>
          <w:rFonts w:ascii="Times New Roman" w:hAnsi="Times New Roman" w:eastAsia="Times New Roman" w:cs="Times New Roman"/>
          <w:b w:val="0"/>
          <w:bCs w:val="0"/>
          <w:sz w:val="20"/>
          <w:szCs w:val="20"/>
        </w:rPr>
        <w:t>Trước thách thức này, Chính phủ Việt Nam đã ban hành Quyết định số 131/QĐ-TTg về việc "Tăng cường ứng dụng công nghệ thông tin và chuyển đổi số trong giáo dục và đào tạo giai đoạn 2022 - 2025, định hướng đến năm 2030". Quyết định này đặt ra yêu cầu bức thiết cho các cơ sở giáo dục đại học phải tái cấu trúc toàn diện hệ sinh thái số, từ khâu quản trị, giảng dạy đến kiểm tra đánh giá.</w:t>
      </w:r>
      <w:r>
        <w:rPr>
          <w:rFonts w:ascii="Times New Roman" w:hAnsi="Times New Roman" w:eastAsia="Times New Roman" w:cs="Times New Roman"/>
          <w:sz w:val="16"/>
          <w:szCs w:val="16"/>
          <w:vertAlign w:val="superscript"/>
        </w:rPr>
        <w:t>[12]</w:t>
      </w:r>
      <w:r>
        <w:rPr>
          <w:rFonts w:ascii="Times New Roman" w:hAnsi="Times New Roman" w:eastAsia="Times New Roman" w:cs="Times New Roman"/>
          <w:sz w:val="20"/>
          <w:szCs w:val="20"/>
        </w:rPr>
        <w:t xml:space="preserve"> Dù vậy, thực trạng hiện nay tại nhiều cơ sở đào tạo cho thấy một sự đứt gãy nghiêm trọng trong hệ sinh thái số.</w:t>
      </w:r>
    </w:p>
    <w:p w14:paraId="77AB38D1">
      <w:pPr>
        <w:spacing w:after="0" w:line="240" w:lineRule="auto"/>
        <w:jc w:val="both"/>
      </w:pPr>
      <w:r>
        <w:rPr>
          <w:rFonts w:ascii="Times New Roman" w:hAnsi="Times New Roman" w:eastAsia="Times New Roman" w:cs="Times New Roman"/>
          <w:b w:val="0"/>
          <w:bCs w:val="0"/>
          <w:sz w:val="20"/>
          <w:szCs w:val="20"/>
        </w:rPr>
        <w:t>Quy trình học tập bị phân mảnh thành hai ngã rẽ không liên thông: sinh viên bắt buộc phải nộp bài tập qua hệ thống quản lý học tập truyền thống của trường chỉ để lấy điểm, sau đó lại phải tự mình chọn lọc, đóng gói và xây dựng lại hồ sơ trên các nền tảng thương mại bên thứ ba như Behance hay Dribbble để tìm kiếm cơ hội thực tập và tiếp cận nhà tuyển dụng. Việc lạm dụng các nền tảng đại chúng này không chỉ gây bất cập về quy trình mà còn tiềm ẩn nguy cơ mất cắp tài sản trí tuệ nghiêm trọng trong bối cảnh các cỗ máy Trí tuệ Nhân tạo tạo sinh đang liên tục cào dữ liệu nghệ thuật một cách trái phép.</w:t>
      </w:r>
    </w:p>
    <w:p w14:paraId="51C1DB6B">
      <w:pPr>
        <w:spacing w:after="0" w:line="240" w:lineRule="auto"/>
        <w:jc w:val="both"/>
      </w:pPr>
      <w:r>
        <w:rPr>
          <w:rFonts w:ascii="Times New Roman" w:hAnsi="Times New Roman" w:eastAsia="Times New Roman" w:cs="Times New Roman"/>
          <w:b w:val="0"/>
          <w:bCs w:val="0"/>
          <w:sz w:val="20"/>
          <w:szCs w:val="20"/>
        </w:rPr>
        <w:t>Sự phân mảnh này dẫn đến ba hệ quả tiêu cực mang tính hệ thống: (1) nhà trường lãng phí và đánh mất một kho dữ liệu học thuật vô giá, không thể lưu trữ tập trung các tác phẩm xuất sắc để xây dựng học liệu tham khảo; (2) sinh viên bị hao tổn một lượng lớn thời gian và nguồn lực khi phải quản lý vòng đời tác phẩm trên nhiều nền tảng khác nhau; và (3) nhà tuyển dụng gặp khó khăn trong việc xác minh liệu một đồ án trên mạng là sản phẩm tự phát hay đã trải qua quá trình đào tạo và bảo chứng học thuật chuyên môn. Sự thiếu minh bạch này làm suy giảm niềm tin của thị trường vào chất lượng đầu ra của các cơ sở giáo dục.</w:t>
      </w:r>
    </w:p>
    <w:p w14:paraId="745D5581">
      <w:pPr>
        <w:spacing w:line="240" w:lineRule="auto"/>
      </w:pPr>
    </w:p>
    <w:p w14:paraId="34A0E895">
      <w:pPr>
        <w:spacing w:before="80" w:after="80" w:line="240" w:lineRule="auto"/>
        <w:jc w:val="left"/>
      </w:pPr>
      <w:r>
        <w:rPr>
          <w:rFonts w:ascii="Times New Roman" w:hAnsi="Times New Roman" w:eastAsia="Times New Roman" w:cs="Times New Roman"/>
          <w:b/>
          <w:bCs/>
          <w:sz w:val="20"/>
          <w:szCs w:val="20"/>
        </w:rPr>
        <w:t>1.2. Mục tiêu nghiên cứu</w:t>
      </w:r>
    </w:p>
    <w:p w14:paraId="6912B764">
      <w:pPr>
        <w:spacing w:after="0" w:line="240" w:lineRule="auto"/>
        <w:jc w:val="both"/>
        <w:rPr>
          <w:rFonts w:hint="default"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rPr>
        <w:t>Nghiên cứu này được thực hiện nhằm giải quyết trực diện bài toán đứt gãy nêu trên thông qua việc đề xuất, xây dựng và kiểm chứng mô hình hệ thống UEF Design Gallery — một nền tảng hồ sơ điện tử tích hợp, được phát triển riêng biệt cho Khoa Thiết kế Đồ họa, Trường Đại học Kinh tế - Tài chính TP.HCM (UEF). Các mục tiêu cụ thể bao gồm: (1) phân tích chuyên sâu các giới hạn mang tính bản chất của các giải pháp công nghệ hiện có (bao gồm các hệ thống LMS khép kín và các nền tảng mạng xã hội nghệ thuật mở) khi áp dụng vào bối cảnh đặc thù của nền giáo dục thiết kế;[9] (2) thiết kế kiến trúc hệ thống theo triết lý "nền tảng lai giữa sư phạm và chuyên nghiệp", có khả năng tích hợp các tiêu chuẩn kiểm định chất lượng giáo dục khắt khe; (3) trình bày kết quả kiểm nghiệm nguyên mẫu về tính khả thi kỹ thuật và ưu việt sư phạm dựa trên dữ liệu thực tiễn; và (4) đưa ra các khuyến nghị chiến lược về chính sách triển khai và hướng tích hợp trí tuệ nhân tạo hữu ích vào quy trình đánh giá học thuật trong tương lai</w:t>
      </w:r>
      <w:r>
        <w:rPr>
          <w:rFonts w:hint="default" w:ascii="Times New Roman" w:hAnsi="Times New Roman" w:eastAsia="Times New Roman" w:cs="Times New Roman"/>
          <w:b w:val="0"/>
          <w:bCs w:val="0"/>
          <w:sz w:val="20"/>
          <w:szCs w:val="20"/>
          <w:lang w:val="en-US"/>
        </w:rPr>
        <w:t>.</w:t>
      </w:r>
    </w:p>
    <w:p w14:paraId="4B076B4D">
      <w:pPr>
        <w:spacing w:before="80" w:after="80" w:line="240" w:lineRule="auto"/>
        <w:jc w:val="left"/>
      </w:pPr>
      <w:r>
        <w:rPr>
          <w:rFonts w:ascii="Times New Roman" w:hAnsi="Times New Roman" w:eastAsia="Times New Roman" w:cs="Times New Roman"/>
          <w:b/>
          <w:bCs/>
          <w:sz w:val="20"/>
          <w:szCs w:val="20"/>
        </w:rPr>
        <w:t>1.3. Câu hỏi và phạm vi nghiên cứu</w:t>
      </w:r>
    </w:p>
    <w:p w14:paraId="565B4B67">
      <w:pPr>
        <w:spacing w:after="0" w:line="240" w:lineRule="auto"/>
        <w:jc w:val="both"/>
      </w:pPr>
      <w:r>
        <w:rPr>
          <w:rFonts w:ascii="Times New Roman" w:hAnsi="Times New Roman" w:eastAsia="Times New Roman" w:cs="Times New Roman"/>
          <w:b w:val="0"/>
          <w:bCs w:val="0"/>
          <w:sz w:val="20"/>
          <w:szCs w:val="20"/>
        </w:rPr>
        <w:t>Câu hỏi trung tâm: Việc ứng dụng một nền tảng hồ sơ điện tử nội bộ, tích hợp sâu quy trình đánh giá học thuật, có thể giải quyết đồng thời những hạn chế về giao diện của hệ thống quản lý học tập truyền thống và những rủi ro học thuật, pháp lý của nền tảng đại chúng như thế nào? Điểm khác biệt vượt trội tạo nên lợi thế cạnh tranh so với các giải pháp quốc tế đang tồn tại là gì?</w:t>
      </w:r>
    </w:p>
    <w:p w14:paraId="02C4A93C">
      <w:pPr>
        <w:spacing w:after="0" w:line="240" w:lineRule="auto"/>
        <w:jc w:val="both"/>
      </w:pPr>
      <w:r>
        <w:rPr>
          <w:rFonts w:ascii="Times New Roman" w:hAnsi="Times New Roman" w:eastAsia="Times New Roman" w:cs="Times New Roman"/>
          <w:b w:val="0"/>
          <w:bCs w:val="0"/>
          <w:sz w:val="20"/>
          <w:szCs w:val="20"/>
        </w:rPr>
        <w:t>Đối tượng nghiên cứu chính là mô hình kiến trúc phần mềm, cấu trúc phân hệ cơ sở dữ liệu và luồng trải nghiệm người dùng của hệ thống UEF Design Gallery. Phạm vi nghiên cứu được giới hạn ở bối cảnh đào tạo ngành thiết kế đồ họa bậc đại học tại Việt Nam, sử dụng trường hợp điển cứu và dữ liệu thực tế thu thập từ sinh viên, giảng viên tại UEF, đồng thời đối chiếu với các mô hình triển khai hồ sơ điện tử hàng đầu thế giới và các tiêu chuẩn kiểm định chất lượng hiện hành.</w:t>
      </w:r>
    </w:p>
    <w:p w14:paraId="00C5B2BD">
      <w:pPr>
        <w:spacing w:line="240" w:lineRule="auto"/>
      </w:pPr>
    </w:p>
    <w:p w14:paraId="51DCF896">
      <w:pPr>
        <w:spacing w:line="240" w:lineRule="auto"/>
        <w:rPr>
          <w:rFonts w:hint="default" w:ascii="Times New Roman" w:hAnsi="Times New Roman" w:eastAsia="Times New Roman" w:cs="Times New Roman"/>
          <w:b/>
          <w:bCs/>
          <w:sz w:val="20"/>
          <w:szCs w:val="20"/>
          <w:lang w:val="en-US"/>
        </w:rPr>
      </w:pPr>
      <w:r>
        <w:rPr>
          <w:rFonts w:ascii="Times New Roman" w:hAnsi="Times New Roman" w:eastAsia="Times New Roman" w:cs="Times New Roman"/>
          <w:b/>
          <w:bCs/>
          <w:sz w:val="20"/>
          <w:szCs w:val="20"/>
        </w:rPr>
        <w:t>1.</w:t>
      </w:r>
      <w:r>
        <w:rPr>
          <w:rFonts w:hint="default" w:ascii="Times New Roman" w:hAnsi="Times New Roman" w:eastAsia="Times New Roman" w:cs="Times New Roman"/>
          <w:b/>
          <w:bCs/>
          <w:sz w:val="20"/>
          <w:szCs w:val="20"/>
          <w:lang w:val="en-US"/>
        </w:rPr>
        <w:t>4</w:t>
      </w:r>
      <w:r>
        <w:rPr>
          <w:rFonts w:ascii="Times New Roman" w:hAnsi="Times New Roman" w:eastAsia="Times New Roman" w:cs="Times New Roman"/>
          <w:b/>
          <w:bCs/>
          <w:sz w:val="20"/>
          <w:szCs w:val="20"/>
        </w:rPr>
        <w:t>.</w:t>
      </w:r>
      <w:r>
        <w:rPr>
          <w:rFonts w:hint="default" w:ascii="Times New Roman" w:hAnsi="Times New Roman" w:eastAsia="Times New Roman" w:cs="Times New Roman"/>
          <w:b/>
          <w:bCs/>
          <w:sz w:val="20"/>
          <w:szCs w:val="20"/>
          <w:lang w:val="en-US"/>
        </w:rPr>
        <w:t xml:space="preserve"> Đối tượng và phạm vi nghiên cứu</w:t>
      </w:r>
    </w:p>
    <w:p w14:paraId="5495C431">
      <w:pPr>
        <w:pStyle w:val="17"/>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Đối tượng nghiên cứu chính của công trình này là </w:t>
      </w:r>
      <w:r>
        <w:rPr>
          <w:rStyle w:val="18"/>
          <w:rFonts w:hint="default" w:ascii="Times New Roman" w:hAnsi="Times New Roman" w:cs="Times New Roman"/>
          <w:b w:val="0"/>
          <w:bCs w:val="0"/>
          <w:sz w:val="20"/>
          <w:szCs w:val="20"/>
        </w:rPr>
        <w:t>kiến trúc hệ thống phần mềm, cấu trúc phân hệ cơ sở dữ liệu và luồng trải nghiệm người dùng</w:t>
      </w:r>
      <w:r>
        <w:rPr>
          <w:rFonts w:hint="default" w:ascii="Times New Roman" w:hAnsi="Times New Roman" w:cs="Times New Roman"/>
          <w:b w:val="0"/>
          <w:bCs w:val="0"/>
          <w:sz w:val="20"/>
          <w:szCs w:val="20"/>
        </w:rPr>
        <w:t xml:space="preserve"> của nền tảng hồ sơ điện tử UEF Design Gallery — cụ thể hơn, là cơ chế vận hành của một mô hình lai giữa sư phạm và </w:t>
      </w:r>
      <w:r>
        <w:rPr>
          <w:rFonts w:hint="default" w:ascii="Times New Roman" w:hAnsi="Times New Roman" w:cs="Times New Roman"/>
          <w:b w:val="0"/>
          <w:bCs w:val="0"/>
          <w:sz w:val="20"/>
          <w:szCs w:val="20"/>
          <w:lang w:val="vi-VN"/>
        </w:rPr>
        <w:t xml:space="preserve">sự </w:t>
      </w:r>
      <w:r>
        <w:rPr>
          <w:rFonts w:hint="default" w:ascii="Times New Roman" w:hAnsi="Times New Roman" w:cs="Times New Roman"/>
          <w:b w:val="0"/>
          <w:bCs w:val="0"/>
          <w:sz w:val="20"/>
          <w:szCs w:val="20"/>
        </w:rPr>
        <w:t>chuyên nghiệp trong bối cảnh đào tạo ngành Thiết kế Đồ họa.</w:t>
      </w:r>
    </w:p>
    <w:p w14:paraId="6FBF9142">
      <w:pPr>
        <w:pStyle w:val="17"/>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Song song đó, nghiên cứu mở rộng khảo sát đến ba nhóm chủ thể trực tiếp vận hành hệ sinh thái học thuật số này: </w:t>
      </w:r>
      <w:r>
        <w:rPr>
          <w:rStyle w:val="18"/>
          <w:rFonts w:hint="default" w:ascii="Times New Roman" w:hAnsi="Times New Roman" w:cs="Times New Roman"/>
          <w:b w:val="0"/>
          <w:bCs w:val="0"/>
          <w:sz w:val="20"/>
          <w:szCs w:val="20"/>
        </w:rPr>
        <w:t>(1) sinh viên</w:t>
      </w:r>
      <w:r>
        <w:rPr>
          <w:rFonts w:hint="default" w:ascii="Times New Roman" w:hAnsi="Times New Roman" w:cs="Times New Roman"/>
          <w:b w:val="0"/>
          <w:bCs w:val="0"/>
          <w:sz w:val="20"/>
          <w:szCs w:val="20"/>
        </w:rPr>
        <w:t xml:space="preserve"> chuyên ngành Thiết kế Đồ họa, với tư cách là người tạo lập và quản lý hồ sơ điện tử; </w:t>
      </w:r>
      <w:r>
        <w:rPr>
          <w:rStyle w:val="18"/>
          <w:rFonts w:hint="default" w:ascii="Times New Roman" w:hAnsi="Times New Roman" w:cs="Times New Roman"/>
          <w:b w:val="0"/>
          <w:bCs w:val="0"/>
          <w:sz w:val="20"/>
          <w:szCs w:val="20"/>
        </w:rPr>
        <w:t>(2) giảng viên</w:t>
      </w:r>
      <w:r>
        <w:rPr>
          <w:rFonts w:hint="default" w:ascii="Times New Roman" w:hAnsi="Times New Roman" w:cs="Times New Roman"/>
          <w:b w:val="0"/>
          <w:bCs w:val="0"/>
          <w:sz w:val="20"/>
          <w:szCs w:val="20"/>
        </w:rPr>
        <w:t xml:space="preserve"> phụ trách các môn học chuyên ngành, với tư cách là người đánh giá và chứng thực học thuật; và </w:t>
      </w:r>
      <w:r>
        <w:rPr>
          <w:rStyle w:val="18"/>
          <w:rFonts w:hint="default" w:ascii="Times New Roman" w:hAnsi="Times New Roman" w:cs="Times New Roman"/>
          <w:b w:val="0"/>
          <w:bCs w:val="0"/>
          <w:sz w:val="20"/>
          <w:szCs w:val="20"/>
        </w:rPr>
        <w:t>(3) doanh nghiệp đối tác tuyển dụng</w:t>
      </w:r>
      <w:r>
        <w:rPr>
          <w:rFonts w:hint="default" w:ascii="Times New Roman" w:hAnsi="Times New Roman" w:cs="Times New Roman"/>
          <w:b w:val="0"/>
          <w:bCs w:val="0"/>
          <w:sz w:val="20"/>
          <w:szCs w:val="20"/>
        </w:rPr>
        <w:t>, với tư cách là bên thụ hưởng năng lực đầu ra. Ngoài ra, nghiên cứu đặt UEF Design Gallery trong tương quan đối chiếu với các mô hình nền tảng hồ sơ điện tử học thuật hàng đầu thế giới, bao gồm UAL Showcase (Đại học Nghệ thuật London) và các giải pháp quản lý năng lực sinh viên hiện hành tại Việt Nam.</w:t>
      </w:r>
    </w:p>
    <w:p w14:paraId="043F307F">
      <w:pPr>
        <w:pStyle w:val="17"/>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b w:val="0"/>
          <w:bCs w:val="0"/>
          <w:sz w:val="20"/>
          <w:szCs w:val="20"/>
        </w:rPr>
        <w:t xml:space="preserve">Về </w:t>
      </w:r>
      <w:r>
        <w:rPr>
          <w:rStyle w:val="18"/>
          <w:rFonts w:hint="default" w:ascii="Times New Roman" w:hAnsi="Times New Roman" w:cs="Times New Roman"/>
          <w:b w:val="0"/>
          <w:bCs w:val="0"/>
          <w:sz w:val="20"/>
          <w:szCs w:val="20"/>
        </w:rPr>
        <w:t>phạm vi nghiên cứu</w:t>
      </w:r>
      <w:r>
        <w:rPr>
          <w:rFonts w:hint="default" w:ascii="Times New Roman" w:hAnsi="Times New Roman" w:cs="Times New Roman"/>
          <w:b w:val="0"/>
          <w:bCs w:val="0"/>
          <w:sz w:val="20"/>
          <w:szCs w:val="20"/>
        </w:rPr>
        <w:t xml:space="preserve">, công trình được giới hạn trong ngữ cảnh cụ thể của đào tạo ngành Thiết kế Đồ họa bậc đại học tại Trường Đại học Kinh tế - Tài chính Thành phố Hồ Chí Minh (UEF) — một bối cảnh đủ đại diện cho nhóm các trường đại học tư thục đang nỗ lực chuyển đổi số trong hệ thống giáo dục đại học </w:t>
      </w:r>
      <w:r>
        <w:rPr>
          <w:rFonts w:hint="default" w:ascii="Times New Roman" w:hAnsi="Times New Roman" w:cs="Times New Roman"/>
          <w:sz w:val="20"/>
          <w:szCs w:val="20"/>
        </w:rPr>
        <w:t>Việt Nam. Dữ liệu thực nghiệm được thu thập từ sinh viên và giảng viên thuộc khoa trong giai đoạn 2024–202</w:t>
      </w:r>
      <w:r>
        <w:rPr>
          <w:rFonts w:hint="default" w:ascii="Times New Roman" w:hAnsi="Times New Roman" w:cs="Times New Roman"/>
          <w:sz w:val="20"/>
          <w:szCs w:val="20"/>
          <w:lang w:val="vi-VN"/>
        </w:rPr>
        <w:t>6</w:t>
      </w:r>
      <w:r>
        <w:rPr>
          <w:rFonts w:hint="default" w:ascii="Times New Roman" w:hAnsi="Times New Roman" w:cs="Times New Roman"/>
          <w:sz w:val="20"/>
          <w:szCs w:val="20"/>
        </w:rPr>
        <w:t xml:space="preserve">. Nghiên cứu không có tham vọng áp đặt một mô hình vạn năng cho mọi ngành học, mà thay vào đó chứng minh tính khả thi và hiệu quả của phương pháp tiếp cận đặc thù ngành — để từ đó mở ra hướng nghiên cứu nhân rộng sang các lĩnh vực đào tạo </w:t>
      </w:r>
      <w:r>
        <w:rPr>
          <w:rFonts w:hint="default" w:ascii="Times New Roman" w:hAnsi="Times New Roman" w:cs="Times New Roman"/>
          <w:sz w:val="20"/>
          <w:szCs w:val="20"/>
          <w:lang w:val="en-US"/>
        </w:rPr>
        <w:t>thiết kế</w:t>
      </w:r>
      <w:r>
        <w:rPr>
          <w:rFonts w:hint="default" w:ascii="Times New Roman" w:hAnsi="Times New Roman" w:cs="Times New Roman"/>
          <w:sz w:val="20"/>
          <w:szCs w:val="20"/>
        </w:rPr>
        <w:t xml:space="preserve"> khác có đặc điểm tương đồng.</w:t>
      </w:r>
    </w:p>
    <w:p w14:paraId="4809686B">
      <w:pPr>
        <w:pStyle w:val="5"/>
        <w:keepNext w:val="0"/>
        <w:keepLines w:val="0"/>
        <w:widowControl/>
        <w:suppressLineNumbers w:val="0"/>
      </w:pPr>
      <w:r>
        <w:rPr>
          <w:rFonts w:hint="default" w:ascii="Times New Roman" w:hAnsi="Times New Roman" w:cs="Times New Roman"/>
          <w:b/>
          <w:bCs/>
          <w:i w:val="0"/>
          <w:iCs w:val="0"/>
          <w:color w:val="000000" w:themeColor="text1"/>
          <w:sz w:val="20"/>
          <w:szCs w:val="20"/>
          <w14:textFill>
            <w14:solidFill>
              <w14:schemeClr w14:val="tx1"/>
            </w14:solidFill>
          </w14:textFill>
        </w:rPr>
        <w:t>1.5. Ý nghĩa khoa học và thực tiễn của nghiên cứu</w:t>
      </w:r>
    </w:p>
    <w:p w14:paraId="2F1FBC86">
      <w:pPr>
        <w:pStyle w:val="17"/>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0"/>
          <w:szCs w:val="20"/>
        </w:rPr>
      </w:pPr>
      <w:r>
        <w:rPr>
          <w:rStyle w:val="18"/>
          <w:rFonts w:hint="default" w:ascii="Times New Roman" w:hAnsi="Times New Roman" w:cs="Times New Roman"/>
          <w:b w:val="0"/>
          <w:bCs w:val="0"/>
          <w:sz w:val="20"/>
          <w:szCs w:val="20"/>
        </w:rPr>
        <w:t>Về mặt khoa học</w:t>
      </w:r>
      <w:r>
        <w:rPr>
          <w:rFonts w:hint="default" w:ascii="Times New Roman" w:hAnsi="Times New Roman" w:cs="Times New Roman"/>
          <w:b w:val="0"/>
          <w:bCs w:val="0"/>
          <w:sz w:val="20"/>
          <w:szCs w:val="20"/>
        </w:rPr>
        <w:t>, nghiên cứu này đóng góp trực tiếp vào ba dòng tri thức học thuật còn nhiều khoảng trắng. Thứ nhất, công trình cung cấp bằng chứng lý luận và thực nghiệm cho khung lý thuyết "Nền tảng lai giữa sư phạm và chuyên nghiệp" — một khung lý thuyết mới, được hình thành từ sự giao thoa giữa Thuyết Cộng đồng thực hành, Học tập dựa trên năng lực, và triết lý tài sản nghề nghiệp bền vững. Thay vì chấp nhận lưỡng phân quen thuộc giữa "hệ thống quản lý học tập khép kín" và "nền tảng trưng bày mở rộng", nghiên cứu lập luận rằng sự phân tách này vốn là một cấu trúc nhân tạo — và đề xuất mô hình kiến trúc hệ thống có thể hóa giải nó một cách đồng thời, thay vì cố gắng tối ưu hóa từng cực riêng lẻ.</w:t>
      </w:r>
    </w:p>
    <w:p w14:paraId="46816F88">
      <w:pPr>
        <w:pStyle w:val="17"/>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Thứ hai, nghiên cứu lấp đầy một khoảng thiếu hụt đáng kể trong tài liệu học thuật: cho đến nay, phần lớn các công trình về hồ sơ điện tử trong giáo dục đại học xuất phát từ các ngành Khoa học Giáo dục, Y tế hoặc Công nghệ thông tin đại cương; trong khi đó, văn liệu nghiên cứu về ứng dụng hồ sơ điện tử riêng cho ngành thiết kế — với tất cả đặc thù về định dạng trực quan, quy trình sáng tạo phi tuyến và vấn đề sở hữu trí tuệ nghệ thuật — vẫn còn hết sức thưa vắng, đặc biệt trong bối cảnh Đông Nam Á và Việt Nam. Thứ ba, nghiên cứu đặt vấn đề về trách nhiệm của nền tảng quản lý học tập trong việc kiểm soát dữ liệu tác phẩm sinh viên — cụ thể là: ai sở hữu dữ liệu đó, dữ liệu đi đâu sau khi sinh viên đăng tải, và nhà trường có thể làm gì để giữ quyền kiểm soát khi các công cụ AI tạo sinh đang thu thập dữ liệu nghệ thuật tràn lan trên các nền tảng mở. Đây là hướng nghiên cứu còn rất mở, đặc biệt trong bối cảnh Việt Nam chưa có nhiều cơ sở đào tạo sáng tạo chủ động xây dựng hạ tầng số tự chủ.</w:t>
      </w:r>
    </w:p>
    <w:p w14:paraId="445467D8">
      <w:pPr>
        <w:spacing w:before="80" w:after="80" w:line="240" w:lineRule="auto"/>
        <w:jc w:val="left"/>
      </w:pPr>
      <w:r>
        <w:rPr>
          <w:rFonts w:hint="default" w:ascii="Times New Roman" w:hAnsi="Times New Roman" w:cs="Times New Roman"/>
          <w:b w:val="0"/>
          <w:bCs w:val="0"/>
          <w:sz w:val="20"/>
          <w:szCs w:val="20"/>
          <w:lang w:val="en-US"/>
        </w:rPr>
        <w:t xml:space="preserve"> </w:t>
      </w:r>
      <w:r>
        <w:rPr>
          <w:rFonts w:ascii="Times New Roman" w:hAnsi="Times New Roman" w:eastAsia="Times New Roman" w:cs="Times New Roman"/>
          <w:b/>
          <w:bCs/>
          <w:sz w:val="20"/>
          <w:szCs w:val="20"/>
        </w:rPr>
        <w:t>2. CƠ SỞ LÝ THUYẾT VÀ PHÂN TÍCH THỰC TRẠNG</w:t>
      </w:r>
    </w:p>
    <w:p w14:paraId="4C91EC9D">
      <w:pPr>
        <w:spacing w:before="80" w:after="80" w:line="240" w:lineRule="auto"/>
        <w:jc w:val="left"/>
      </w:pPr>
      <w:r>
        <w:rPr>
          <w:rFonts w:ascii="Times New Roman" w:hAnsi="Times New Roman" w:eastAsia="Times New Roman" w:cs="Times New Roman"/>
          <w:b/>
          <w:bCs/>
          <w:sz w:val="20"/>
          <w:szCs w:val="20"/>
        </w:rPr>
        <w:t>2.1. Hồ sơ điện tử trong giáo dục đại học và các chuẩn mực kiểm định</w:t>
      </w:r>
    </w:p>
    <w:p w14:paraId="2B1116E5">
      <w:pPr>
        <w:spacing w:after="0" w:line="240" w:lineRule="auto"/>
        <w:jc w:val="both"/>
      </w:pPr>
      <w:r>
        <w:rPr>
          <w:rFonts w:ascii="Times New Roman" w:hAnsi="Times New Roman" w:eastAsia="Times New Roman" w:cs="Times New Roman"/>
          <w:b w:val="0"/>
          <w:bCs w:val="0"/>
          <w:sz w:val="20"/>
          <w:szCs w:val="20"/>
        </w:rPr>
        <w:t>Hồ sơ điện tử (E-Portfolio) được định nghĩa là một tập hợp có chủ đích các minh chứng kỹ thuật số về quá trình học tập, năng lực thực thi và thành tựu cá nhân của người học, được quản lý linh hoạt trên môi trường mạng.</w:t>
      </w:r>
      <w:r>
        <w:rPr>
          <w:rFonts w:ascii="Times New Roman" w:hAnsi="Times New Roman" w:eastAsia="Times New Roman" w:cs="Times New Roman"/>
          <w:sz w:val="16"/>
          <w:szCs w:val="16"/>
          <w:vertAlign w:val="superscript"/>
        </w:rPr>
        <w:t>[1]</w:t>
      </w:r>
      <w:r>
        <w:rPr>
          <w:rFonts w:ascii="Times New Roman" w:hAnsi="Times New Roman" w:eastAsia="Times New Roman" w:cs="Times New Roman"/>
          <w:sz w:val="20"/>
          <w:szCs w:val="20"/>
        </w:rPr>
        <w:t xml:space="preserve"> Khác biệt hoàn toàn với bài kiểm tra truyền thống vốn chỉ chụp lại năng lực tại một khoảnh khắc duy nhất, hồ sơ điện tử đóng vai trò như một cuốn phim tài liệu, ghi nhận toàn bộ hành trình trưởng thành từ những phác thảo ban đầu, bản nháp thất bại, quá trình tiếp thu phản hồi, cho đến những bước đột phá sáng tạo.</w:t>
      </w:r>
      <w:r>
        <w:rPr>
          <w:rFonts w:ascii="Times New Roman" w:hAnsi="Times New Roman" w:eastAsia="Times New Roman" w:cs="Times New Roman"/>
          <w:sz w:val="16"/>
          <w:szCs w:val="16"/>
          <w:vertAlign w:val="superscript"/>
        </w:rPr>
        <w:t>[2]</w:t>
      </w:r>
      <w:r>
        <w:rPr>
          <w:rFonts w:ascii="Times New Roman" w:hAnsi="Times New Roman" w:eastAsia="Times New Roman" w:cs="Times New Roman"/>
          <w:sz w:val="20"/>
          <w:szCs w:val="20"/>
        </w:rPr>
        <w:t xml:space="preserve"> Trong lĩnh vực giáo dục nghệ thuật và thiết kế, quy trình tư duy (design thinking process) thường quan trọng không kém kết quả cuối cùng.</w:t>
      </w:r>
      <w:r>
        <w:rPr>
          <w:rFonts w:ascii="Times New Roman" w:hAnsi="Times New Roman" w:eastAsia="Times New Roman" w:cs="Times New Roman"/>
          <w:sz w:val="16"/>
          <w:szCs w:val="16"/>
          <w:vertAlign w:val="superscript"/>
        </w:rPr>
        <w:t>[6]</w:t>
      </w:r>
    </w:p>
    <w:p w14:paraId="738A4804">
      <w:pPr>
        <w:spacing w:after="0" w:line="240" w:lineRule="auto"/>
        <w:jc w:val="both"/>
        <w:rPr>
          <w:rFonts w:hint="default" w:ascii="Times New Roman" w:hAnsi="Times New Roman" w:cs="Times New Roman"/>
          <w:sz w:val="20"/>
          <w:szCs w:val="20"/>
          <w:vertAlign w:val="superscript"/>
        </w:rPr>
      </w:pPr>
      <w:r>
        <w:rPr>
          <w:rFonts w:ascii="Times New Roman" w:hAnsi="Times New Roman" w:eastAsia="Times New Roman" w:cs="Times New Roman"/>
          <w:b w:val="0"/>
          <w:bCs w:val="0"/>
          <w:sz w:val="20"/>
          <w:szCs w:val="20"/>
        </w:rPr>
        <w:t>Nghiên cứu của Eynon và Gambino (2017) chỉ ra rằng hồ sơ điện tử là một trong những thực hành giáo dục mang lại tác động cao, thúc đẩy sự phản tư sâu sắc của sinh viên.</w:t>
      </w:r>
      <w:r>
        <w:rPr>
          <w:rFonts w:ascii="Times New Roman" w:hAnsi="Times New Roman" w:eastAsia="Times New Roman" w:cs="Times New Roman"/>
          <w:sz w:val="16"/>
          <w:szCs w:val="16"/>
          <w:vertAlign w:val="superscript"/>
        </w:rPr>
        <w:t>[4]</w:t>
      </w:r>
      <w:r>
        <w:rPr>
          <w:rFonts w:ascii="Times New Roman" w:hAnsi="Times New Roman" w:eastAsia="Times New Roman" w:cs="Times New Roman"/>
          <w:sz w:val="20"/>
          <w:szCs w:val="20"/>
        </w:rPr>
        <w:t xml:space="preserve"> Trong bối cảnh giáo dục hiện đại, hồ sơ điện tử tồn tại ở ba dạng thức lõi: (1) hồ sơ phát triển ghi lại sự tiến bộ kỹ năng theo thời gian; (2) hồ sơ đánh giá với cấu trúc chặt chẽ cung cấp minh chứng đáp ứng chuẩn đầu ra; và (3) hồ sơ trưng bày làm nổi bật tác phẩm hoàn thiện nhất như công cụ tiếp thị bản thân. Việc vận hành hồ sơ điện tử không chỉ rèn luyện chuyên môn mà còn là công cụ phát triển các kỹ năng thế kỷ 21 cốt lõi như tư duy phản biện, kỹ năng số và giao tiếp trực quan.</w:t>
      </w:r>
      <w:r>
        <w:rPr>
          <w:rFonts w:ascii="Times New Roman" w:hAnsi="Times New Roman" w:eastAsia="Times New Roman" w:cs="Times New Roman"/>
          <w:sz w:val="16"/>
          <w:szCs w:val="16"/>
          <w:vertAlign w:val="superscript"/>
        </w:rPr>
        <w:t>[7]</w:t>
      </w:r>
      <w:r>
        <w:rPr>
          <w:rFonts w:ascii="Times New Roman" w:hAnsi="Times New Roman" w:eastAsia="Times New Roman" w:cs="Times New Roman"/>
          <w:sz w:val="20"/>
          <w:szCs w:val="20"/>
        </w:rPr>
        <w:t xml:space="preserve"> Đáng chú ý, một khảo sát từ Đại học Clemson chứng minh rằng có tới hơn 80% nhà tuyển dụng xem hồ sơ điện tử là yếu tố tham chiếu quan trọng trong quy trình tuyển chọn nhân sự.</w:t>
      </w:r>
      <w:r>
        <w:rPr>
          <w:rFonts w:hint="default" w:ascii="Times New Roman" w:hAnsi="Times New Roman" w:eastAsia="SimSun" w:cs="Times New Roman"/>
          <w:sz w:val="20"/>
          <w:szCs w:val="20"/>
          <w:vertAlign w:val="superscript"/>
        </w:rPr>
        <w:t>[7]</w:t>
      </w:r>
    </w:p>
    <w:p w14:paraId="43EC484F">
      <w:pPr>
        <w:spacing w:after="0" w:line="240" w:lineRule="auto"/>
        <w:jc w:val="both"/>
      </w:pPr>
      <w:r>
        <w:rPr>
          <w:rFonts w:ascii="Times New Roman" w:hAnsi="Times New Roman" w:eastAsia="Times New Roman" w:cs="Times New Roman"/>
          <w:b w:val="0"/>
          <w:bCs w:val="0"/>
          <w:sz w:val="20"/>
          <w:szCs w:val="20"/>
        </w:rPr>
        <w:t>Tầm quan trọng của hồ sơ điện tử còn được khẳng định mạnh mẽ qua lăng kính của các tổ chức kiểm định chất lượng giáo dục.</w:t>
      </w:r>
      <w:r>
        <w:rPr>
          <w:rFonts w:ascii="Times New Roman" w:hAnsi="Times New Roman" w:eastAsia="Times New Roman" w:cs="Times New Roman"/>
          <w:sz w:val="16"/>
          <w:szCs w:val="16"/>
          <w:vertAlign w:val="superscript"/>
        </w:rPr>
        <w:t>[5]</w:t>
      </w:r>
      <w:r>
        <w:rPr>
          <w:rFonts w:ascii="Times New Roman" w:hAnsi="Times New Roman" w:eastAsia="Times New Roman" w:cs="Times New Roman"/>
          <w:sz w:val="20"/>
          <w:szCs w:val="20"/>
        </w:rPr>
        <w:t xml:space="preserve"> Tại Việt Nam, Thông tư 04/2016/TT-BGDĐT</w:t>
      </w:r>
      <w:r>
        <w:rPr>
          <w:rFonts w:hint="default" w:ascii="Times New Roman" w:hAnsi="Times New Roman" w:eastAsia="SimSun" w:cs="Times New Roman"/>
          <w:sz w:val="20"/>
          <w:szCs w:val="20"/>
          <w:vertAlign w:val="superscript"/>
        </w:rPr>
        <w:t>[</w:t>
      </w:r>
      <w:r>
        <w:rPr>
          <w:rFonts w:hint="default" w:ascii="Times New Roman" w:hAnsi="Times New Roman" w:eastAsia="SimSun" w:cs="Times New Roman"/>
          <w:sz w:val="20"/>
          <w:szCs w:val="20"/>
          <w:vertAlign w:val="superscript"/>
          <w:lang w:val="en-US"/>
        </w:rPr>
        <w:t>1</w:t>
      </w:r>
      <w:r>
        <w:rPr>
          <w:rFonts w:hint="default" w:ascii="Times New Roman" w:hAnsi="Times New Roman" w:eastAsia="SimSun" w:cs="Times New Roman"/>
          <w:sz w:val="20"/>
          <w:szCs w:val="20"/>
          <w:vertAlign w:val="superscript"/>
        </w:rPr>
        <w:t>7]</w:t>
      </w:r>
      <w:r>
        <w:rPr>
          <w:rFonts w:ascii="Times New Roman" w:hAnsi="Times New Roman" w:eastAsia="Times New Roman" w:cs="Times New Roman"/>
          <w:sz w:val="20"/>
          <w:szCs w:val="20"/>
        </w:rPr>
        <w:t xml:space="preserve"> của Bộ Giáo dục và Đào tạo quy định tiêu chuẩn đánh giá chất lượng chương trình đào tạo đại học đã đặt "Mục tiêu và chuẩn đầu ra của chương trình đào tạo" (Tiêu chuẩn 1) và "Đánh giá kết quả học tập của người học" (Tiêu chuẩn 5) làm thước đo cốt lõi. Hồ sơ điện tử là minh chứng toàn diện nhất để chứng minh rằng chuẩn đầu ra đã được bao quát đầy đủ cả kiến thức chuyên môn lẫn kỹ năng mềm.</w:t>
      </w:r>
    </w:p>
    <w:p w14:paraId="2278F257">
      <w:pPr>
        <w:spacing w:after="0" w:line="240" w:lineRule="auto"/>
        <w:jc w:val="both"/>
      </w:pPr>
      <w:r>
        <w:rPr>
          <w:rFonts w:ascii="Times New Roman" w:hAnsi="Times New Roman" w:eastAsia="Times New Roman" w:cs="Times New Roman"/>
          <w:b w:val="0"/>
          <w:bCs w:val="0"/>
          <w:sz w:val="20"/>
          <w:szCs w:val="20"/>
        </w:rPr>
        <w:t>Ở tầm nhìn khu vực, Mạng lưới các trường đại học Đông Nam Á (AUN-QA) cũng quy định các tiêu chuẩn cực kỳ nghiêm ngặt. Tiêu chí 3 của AUN-QA yêu cầu phương pháp giảng dạy và học tập phải thúc đẩy học tập chủ động và học tập suốt đời. Đặc biệt, Tiêu chí 5 của AUN-QA phiên bản 4.0</w:t>
      </w:r>
      <w:r>
        <w:rPr>
          <w:rFonts w:hint="default" w:ascii="Times New Roman" w:hAnsi="Times New Roman" w:eastAsia="SimSun" w:cs="Times New Roman"/>
          <w:sz w:val="20"/>
          <w:szCs w:val="20"/>
          <w:vertAlign w:val="superscript"/>
        </w:rPr>
        <w:t>[</w:t>
      </w:r>
      <w:r>
        <w:rPr>
          <w:rFonts w:hint="default" w:ascii="Times New Roman" w:hAnsi="Times New Roman" w:eastAsia="SimSun" w:cs="Times New Roman"/>
          <w:sz w:val="20"/>
          <w:szCs w:val="20"/>
          <w:vertAlign w:val="superscript"/>
          <w:lang w:val="en-US"/>
        </w:rPr>
        <w:t>18</w:t>
      </w:r>
      <w:r>
        <w:rPr>
          <w:rFonts w:hint="default" w:ascii="Times New Roman" w:hAnsi="Times New Roman" w:eastAsia="SimSun" w:cs="Times New Roman"/>
          <w:sz w:val="20"/>
          <w:szCs w:val="20"/>
          <w:vertAlign w:val="superscript"/>
        </w:rPr>
        <w:t>]</w:t>
      </w:r>
      <w:r>
        <w:rPr>
          <w:rFonts w:ascii="Times New Roman" w:hAnsi="Times New Roman" w:eastAsia="Times New Roman" w:cs="Times New Roman"/>
          <w:b w:val="0"/>
          <w:bCs w:val="0"/>
          <w:sz w:val="20"/>
          <w:szCs w:val="20"/>
        </w:rPr>
        <w:t xml:space="preserve"> đặc biệt khuyến nghị việc sử dụng "hồ sơ năng lực của chương trình học dựa trên chuẩn đầu ra" để đo lường sự tiến bộ và năng lực cuối kỳ của sinh viên. AUN-QA nhấn mạnh nguyên lý học tập của người trưởng thành, ưu tiên các phương pháp đánh giá tham chiếu tiêu chí kết hợp giữa đánh giá của giảng viên, đánh giá đồng đẳng và tự đánh giá. Việc thiếu vắng một hệ thống quản lý danh mục đầu tư chuyên nghiệp sẽ khiến các trường đại học gặp vô vàn khó khăn trong việc thu thập minh chứng để vượt qua các kỳ kiểm định chất lượng khắt khe này.</w:t>
      </w:r>
    </w:p>
    <w:p w14:paraId="4B9D8DFF">
      <w:pPr>
        <w:spacing w:line="240" w:lineRule="auto"/>
      </w:pPr>
    </w:p>
    <w:p w14:paraId="123CF546">
      <w:pPr>
        <w:spacing w:before="80" w:after="80" w:line="240" w:lineRule="auto"/>
        <w:jc w:val="left"/>
      </w:pPr>
      <w:r>
        <w:rPr>
          <w:rFonts w:ascii="Times New Roman" w:hAnsi="Times New Roman" w:eastAsia="Times New Roman" w:cs="Times New Roman"/>
          <w:b/>
          <w:bCs/>
          <w:sz w:val="20"/>
          <w:szCs w:val="20"/>
        </w:rPr>
        <w:t>2.2. Sự bất cập của hệ thống quản lý học tập (LMS) trong đào tạo thiết kế</w:t>
      </w:r>
    </w:p>
    <w:p w14:paraId="24F2ACEC">
      <w:pPr>
        <w:spacing w:after="0" w:line="240" w:lineRule="auto"/>
        <w:jc w:val="both"/>
      </w:pPr>
      <w:r>
        <w:rPr>
          <w:rFonts w:ascii="Times New Roman" w:hAnsi="Times New Roman" w:eastAsia="Times New Roman" w:cs="Times New Roman"/>
          <w:b w:val="0"/>
          <w:bCs w:val="0"/>
          <w:sz w:val="20"/>
          <w:szCs w:val="20"/>
        </w:rPr>
        <w:t>Hệ thống quản lý học tập (LMS — như Canvas, Moodle, Blackboard) đang thống trị thị phần công nghệ giáo dục đại học toàn cầu, với nền tảng Canvas chiếm tới 41% thị phần tại Bắc Mỹ.</w:t>
      </w:r>
      <w:r>
        <w:rPr>
          <w:rFonts w:ascii="Times New Roman" w:hAnsi="Times New Roman" w:eastAsia="Times New Roman" w:cs="Times New Roman"/>
          <w:sz w:val="16"/>
          <w:szCs w:val="16"/>
          <w:vertAlign w:val="superscript"/>
        </w:rPr>
        <w:t>[13]</w:t>
      </w:r>
      <w:r>
        <w:rPr>
          <w:rFonts w:ascii="Times New Roman" w:hAnsi="Times New Roman" w:eastAsia="Times New Roman" w:cs="Times New Roman"/>
          <w:sz w:val="20"/>
          <w:szCs w:val="20"/>
        </w:rPr>
        <w:t xml:space="preserve"> Tại Việt Nam, Moodle và Canvas cũng là hai nền tảng được áp dụng rộng rãi nhất. Ưu điểm tuyệt đối của các hệ thống này là tính hành chính giáo dục: quản lý lớp học chặt chẽ, bảo mật thông tin, tích hợp bảng tiêu chí chấm điểm và kết xuất điểm số tự động.</w:t>
      </w:r>
    </w:p>
    <w:p w14:paraId="45BA05E9">
      <w:pPr>
        <w:spacing w:after="0" w:line="240" w:lineRule="auto"/>
        <w:jc w:val="both"/>
      </w:pPr>
      <w:r>
        <w:rPr>
          <w:rFonts w:ascii="Times New Roman" w:hAnsi="Times New Roman" w:eastAsia="Times New Roman" w:cs="Times New Roman"/>
          <w:b w:val="0"/>
          <w:bCs w:val="0"/>
          <w:sz w:val="20"/>
          <w:szCs w:val="20"/>
        </w:rPr>
        <w:t>Tuy nhiên, chúng được xây dựng dựa trên tư duy "phân phối nội dung và văn bản".</w:t>
      </w:r>
      <w:r>
        <w:rPr>
          <w:rFonts w:ascii="Times New Roman" w:hAnsi="Times New Roman" w:eastAsia="Times New Roman" w:cs="Times New Roman"/>
          <w:sz w:val="16"/>
          <w:szCs w:val="16"/>
          <w:vertAlign w:val="superscript"/>
        </w:rPr>
        <w:t>[3]</w:t>
      </w:r>
      <w:r>
        <w:rPr>
          <w:rFonts w:ascii="Times New Roman" w:hAnsi="Times New Roman" w:eastAsia="Times New Roman" w:cs="Times New Roman"/>
          <w:sz w:val="20"/>
          <w:szCs w:val="20"/>
        </w:rPr>
        <w:t xml:space="preserve"> Giao diện mang tính biểu mẫu, khô khan, hoàn toàn không hỗ trợ các định dạng hiển thị trực quan đặc thù của ngành thiết kế. Ví dụ cụ thể, trên hệ thống Blackboard hay Canvas, khi sinh viên nộp một đồ án danh mục đầu tư, dữ liệu thường được lưu dưới dạng một "bản chụp" trong giao diện chấm điểm. Công cụ Bb Annotate (công cụ chú thích của Blackboard) không hỗ trợ việc ghi chú trực tiếp lên các định dạng đa phương tiện phức tạp của portfolio, khiến việc phản hồi của giảng viên bị giới hạn trong một khung bình luận chung chung ở thanh bên. Việc bắt sinh viên nộp một đồ án nhận diện thương hiệu công phu dưới dạng một tệp nén đính kèm là một sự triệt tiêu cảm hứng sáng tạo. Hơn nữa, do bản chất hệ sinh thái khép kín, toàn bộ nỗ lực học thuật của sinh viên bị "khóa chặt" sau lớp mật khẩu nội bộ, khiến doanh nghiệp bên ngoài không có cơ hội tiếp cận. Sinh viên ra trường với một bảng điểm xuất sắc trên hệ thống LMS nhưng lại mang một hồ sơ kỹ thuật số</w:t>
      </w:r>
      <w:r>
        <w:rPr>
          <w:rFonts w:ascii="Times New Roman" w:hAnsi="Times New Roman" w:eastAsia="Times New Roman" w:cs="Times New Roman"/>
          <w:sz w:val="16"/>
          <w:szCs w:val="16"/>
          <w:vertAlign w:val="superscript"/>
        </w:rPr>
        <w:t>[14]</w:t>
      </w:r>
      <w:r>
        <w:rPr>
          <w:rFonts w:ascii="Times New Roman" w:hAnsi="Times New Roman" w:eastAsia="Times New Roman" w:cs="Times New Roman"/>
          <w:sz w:val="20"/>
          <w:szCs w:val="20"/>
        </w:rPr>
        <w:t xml:space="preserve"> "trống rỗng" trên internet.</w:t>
      </w:r>
    </w:p>
    <w:p w14:paraId="03988ECB">
      <w:pPr>
        <w:spacing w:line="240" w:lineRule="auto"/>
      </w:pPr>
    </w:p>
    <w:p w14:paraId="6089D911">
      <w:pPr>
        <w:spacing w:before="80" w:after="80" w:line="240" w:lineRule="auto"/>
        <w:jc w:val="left"/>
      </w:pPr>
      <w:r>
        <w:rPr>
          <w:rFonts w:ascii="Times New Roman" w:hAnsi="Times New Roman" w:eastAsia="Times New Roman" w:cs="Times New Roman"/>
          <w:b/>
          <w:bCs/>
          <w:sz w:val="20"/>
          <w:szCs w:val="20"/>
        </w:rPr>
        <w:t>2.3. Rủi ro học thuật, pháp lý và khủng hoảng bản quyền trên nền tảng đại chúng</w:t>
      </w:r>
    </w:p>
    <w:p w14:paraId="304BB7DA">
      <w:pPr>
        <w:spacing w:after="0" w:line="240" w:lineRule="auto"/>
        <w:jc w:val="both"/>
      </w:pPr>
      <w:r>
        <w:rPr>
          <w:rFonts w:ascii="Times New Roman" w:hAnsi="Times New Roman" w:eastAsia="Times New Roman" w:cs="Times New Roman"/>
          <w:b w:val="0"/>
          <w:bCs w:val="0"/>
          <w:sz w:val="20"/>
          <w:szCs w:val="20"/>
        </w:rPr>
        <w:t>Để bù đắp khiếm khuyết về hiển thị của hệ thống nội bộ, sinh viên buộc phải tìm đến Behance (thuộc Adobe) hay Dribbble. Dù sở hữu giao diện hình ảnh xuất sắc, các nền tảng này lại ẩn chứa nhiều rủi ro khi được sử dụng thay thế cho môi trường giáo dục. Thứ nhất, giảng viên bị tước mất quyền đánh giá — không có công cụ chấm điểm chính thức, không thể đối chiếu tác phẩm với khung chuẩn đầu ra theo yêu cầu của AUN-QA. Thứ hai, "áp lực hoàn hảo hóa" do thuật toán ưu tiên sản phẩm có độ tương tác cao, tạo tâm lý e ngại đăng tải bản nháp học thuật, dẫn đến việc mất đi các minh chứng về "quy trình tư duy" vốn vô cùng quan trọng. Thứ ba, tính xác thực học thuật bằng không: một nhà tuyển dụng không thể biết liệu tác phẩm có thực sự trải qua 15 tuần học tập hay chỉ được tạo ra bởi công cụ AI trong vài phút.</w:t>
      </w:r>
    </w:p>
    <w:p w14:paraId="7424CC4A">
      <w:pPr>
        <w:spacing w:after="0" w:line="240" w:lineRule="auto"/>
        <w:jc w:val="both"/>
      </w:pPr>
      <w:r>
        <w:rPr>
          <w:rFonts w:ascii="Times New Roman" w:hAnsi="Times New Roman" w:eastAsia="Times New Roman" w:cs="Times New Roman"/>
          <w:b w:val="0"/>
          <w:bCs w:val="0"/>
          <w:sz w:val="20"/>
          <w:szCs w:val="20"/>
        </w:rPr>
        <w:t>Thứ tư và cũng là nguy cơ nghiêm trọng nhất: sự xâm phạm trắng trợn về sở hữu trí tuệ từ Trí tuệ nhân tạo tạo sinh. Kể từ sự bùng nổ của các mô hình AI sinh ảnh (như Midjourney, Stable Diffusion, DALL-E), các công ty công nghệ đã sử dụng phương pháp cào dữ liệu hàng loạt từ các nền tảng trưng bày như Behance, ArtStation, DeviantArt, và Dribbble mà không hề có sự xin phép hay đền bù cho các tác giả gốc. Các mô hình học sâu này phân tích phong cách, nét vẽ, và bố cục của hàng triệu danh mục đầu tư để tạo ra sản phẩm phái sinh.</w:t>
      </w:r>
      <w:r>
        <w:rPr>
          <w:rFonts w:ascii="Times New Roman" w:hAnsi="Times New Roman" w:eastAsia="Times New Roman" w:cs="Times New Roman"/>
          <w:sz w:val="16"/>
          <w:szCs w:val="16"/>
          <w:vertAlign w:val="superscript"/>
        </w:rPr>
        <w:t>[16]</w:t>
      </w:r>
    </w:p>
    <w:p w14:paraId="4175D984">
      <w:pPr>
        <w:spacing w:after="0" w:line="240" w:lineRule="auto"/>
        <w:jc w:val="both"/>
      </w:pPr>
      <w:r>
        <w:rPr>
          <w:rFonts w:ascii="Times New Roman" w:hAnsi="Times New Roman" w:eastAsia="Times New Roman" w:cs="Times New Roman"/>
          <w:b w:val="0"/>
          <w:bCs w:val="0"/>
          <w:sz w:val="20"/>
          <w:szCs w:val="20"/>
        </w:rPr>
        <w:t>Luật bản quyền sinh ra để bảo vệ các tác giả nguyên bản, nhưng tốc độ cào dữ liệu hiện tại đã vượt qua khả năng kiểm soát của khung pháp lý truyền thống. Tại Việt Nam, Điều 28 Luật Sở hữu trí tuệ quy định rõ mọi hành vi sao chép, sử dụng tác phẩm mà không được phép của chủ sở hữu, hoặc làm tác phẩm phái sinh mà không có sự đồng ý, đều cấu thành vi phạm. Việc buộc sinh viên chuyên ngành Thiết kế Đồ họa tải lên đồ án môn học lên các nền tảng mở không có cơ chế bảo vệ là hành động gián tiếp nộp tài sản trí tuệ của người học cho các cỗ máy AI, biến sinh viên thành "những nhà thầu cung cấp dữ liệu miễn phí".</w:t>
      </w:r>
    </w:p>
    <w:p w14:paraId="27B46A44">
      <w:pPr>
        <w:spacing w:after="0" w:line="240" w:lineRule="auto"/>
        <w:jc w:val="both"/>
      </w:pPr>
      <w:r>
        <w:rPr>
          <w:rFonts w:ascii="Times New Roman" w:hAnsi="Times New Roman" w:eastAsia="Times New Roman" w:cs="Times New Roman"/>
          <w:b w:val="0"/>
          <w:bCs w:val="0"/>
          <w:sz w:val="20"/>
          <w:szCs w:val="20"/>
        </w:rPr>
        <w:t>Cộng đồng nghệ sĩ quốc tế đã phản ứng dữ dội trước tình trạng này. Vào tháng 12 năm 2022, nền tảng ArtStation đã chứng kiến một cuộc biểu tình quy mô lớn khi hàng ngàn nghệ sĩ đồng loạt đăng tải biểu tượng "No AI" lên trang chủ để tẩy chay việc nền tảng này dung túng cho nghệ thuật do máy tính tạo ra. Sự kiện này đã tạo sức ép buộc ArtStation phải cấm việc sử dụng AI tạo sinh trong các cuộc thi thiết kế của họ, với tuyên bố rằng tinh thần sáng tạo phải dựa trên kỹ năng con người và các khái niệm gốc. Rủi ro đạo đức và pháp lý này đặt ra một mệnh lệnh cấp bách: các trường đại học không thể tiếp tục "khoán trắng" việc lưu trữ danh mục đầu tư cho các nền tảng mạng xã hội bên ngoài.</w:t>
      </w:r>
    </w:p>
    <w:p w14:paraId="5FE57519">
      <w:pPr>
        <w:spacing w:line="240" w:lineRule="auto"/>
      </w:pPr>
    </w:p>
    <w:p w14:paraId="195B01A4">
      <w:pPr>
        <w:spacing w:before="80" w:after="80" w:line="240" w:lineRule="auto"/>
        <w:jc w:val="left"/>
      </w:pPr>
      <w:r>
        <w:rPr>
          <w:rFonts w:ascii="Times New Roman" w:hAnsi="Times New Roman" w:eastAsia="Times New Roman" w:cs="Times New Roman"/>
          <w:b/>
          <w:bCs/>
          <w:sz w:val="20"/>
          <w:szCs w:val="20"/>
        </w:rPr>
        <w:t>2.4. Khung tham chiếu: Kinh nghiệm quốc tế và trong nước về nền tảng danh mục đầu tư</w:t>
      </w:r>
    </w:p>
    <w:p w14:paraId="04D1667A">
      <w:pPr>
        <w:spacing w:after="0" w:line="240" w:lineRule="auto"/>
        <w:jc w:val="both"/>
      </w:pPr>
      <w:r>
        <w:rPr>
          <w:rFonts w:ascii="Times New Roman" w:hAnsi="Times New Roman" w:eastAsia="Times New Roman" w:cs="Times New Roman"/>
          <w:b w:val="0"/>
          <w:bCs w:val="0"/>
          <w:sz w:val="20"/>
          <w:szCs w:val="20"/>
        </w:rPr>
        <w:t>Để tìm ra lời giải, nghiên cứu đối chiếu các mô hình thực tiễn xuất sắc trong việc triển khai hồ sơ điện tử học thuật có tính hướng ngoại.</w:t>
      </w:r>
    </w:p>
    <w:p w14:paraId="1EBFE3AE">
      <w:pPr>
        <w:spacing w:after="0" w:line="240" w:lineRule="auto"/>
        <w:jc w:val="both"/>
      </w:pPr>
      <w:r>
        <w:rPr>
          <w:rFonts w:ascii="Times New Roman" w:hAnsi="Times New Roman" w:eastAsia="Times New Roman" w:cs="Times New Roman"/>
          <w:b w:val="0"/>
          <w:bCs w:val="0"/>
          <w:sz w:val="20"/>
          <w:szCs w:val="20"/>
        </w:rPr>
        <w:t>Kinh nghiệm quốc tế - Mô hình UAL Showcase (Đại học Nghệ thuật London)</w:t>
      </w:r>
      <w:r>
        <w:rPr>
          <w:rFonts w:hint="default" w:ascii="Times New Roman" w:hAnsi="Times New Roman" w:eastAsia="Times New Roman" w:cs="Times New Roman"/>
          <w:b w:val="0"/>
          <w:bCs w:val="0"/>
          <w:sz w:val="20"/>
          <w:szCs w:val="20"/>
          <w:vertAlign w:val="superscript"/>
          <w:lang w:val="en-US"/>
        </w:rPr>
        <w:t>[15]</w:t>
      </w:r>
      <w:r>
        <w:rPr>
          <w:rFonts w:ascii="Times New Roman" w:hAnsi="Times New Roman" w:eastAsia="Times New Roman" w:cs="Times New Roman"/>
          <w:b w:val="0"/>
          <w:bCs w:val="0"/>
          <w:sz w:val="20"/>
          <w:szCs w:val="20"/>
        </w:rPr>
        <w:t>: Đại học Nghệ thuật London (UAL), một trong những định chế hàng đầu thế giới, đã không phụ thuộc vào Behance mà tự phát triển hệ thống "UAL Showcase". Nền tảng này cho phép sinh viên tất cả các năm học tạo hồ sơ cá nhân hóa, tải lên hình ảnh chất lượng cao, nhúng video, âm thanh, PDF và cả không gian 3D/VR. UAL Showcase không chỉ là một kho lưu trữ; nó là một chiến lược quảng bá thương hiệu. Với 1,5 triệu lượt xem trang mỗi năm từ 208 quốc gia, nhà trường chủ động chạy các chiến dịch tiếp thị số để giới thiệu đồ án sinh viên trực tiếp đến các nhà tuyển dụng và đối tác công nghiệp toàn cầu (như Google Arts and Culture, Photo London, Mother London). Hồ sơ sinh viên tồn tại suốt quá trình học và được duy trì 2 năm sau khi tốt nghiệp, giúp hàng loạt cựu sinh viên nhận được việc làm, hợp đồng thiết kế tự do, hoặc bán được tác phẩm ngay từ khi còn ngồi trên ghế nhà trường. UAL Showcase chứng minh sức mạnh của một hệ sinh thái số do trường đại học làm chủ: bảo mật được dữ liệu gốc, định vị rõ ràng giá trị học thuật, và kiểm soát luồng giao tiếp với thị trường tuyển dụng.</w:t>
      </w:r>
    </w:p>
    <w:p w14:paraId="3DB991C0">
      <w:pPr>
        <w:spacing w:after="0" w:line="240" w:lineRule="auto"/>
        <w:jc w:val="both"/>
      </w:pPr>
      <w:r>
        <w:rPr>
          <w:rFonts w:ascii="Times New Roman" w:hAnsi="Times New Roman" w:eastAsia="Times New Roman" w:cs="Times New Roman"/>
          <w:b w:val="0"/>
          <w:bCs w:val="0"/>
          <w:sz w:val="20"/>
          <w:szCs w:val="20"/>
        </w:rPr>
        <w:t>Kinh nghiệm trong nước - Tình huống RMIT Vietnam: Tại Việt Nam, Đại học RMIT Vietnam</w:t>
      </w:r>
      <w:r>
        <w:rPr>
          <w:rFonts w:hint="default" w:ascii="Times New Roman" w:hAnsi="Times New Roman" w:eastAsia="Times New Roman" w:cs="Times New Roman"/>
          <w:b w:val="0"/>
          <w:bCs w:val="0"/>
          <w:sz w:val="20"/>
          <w:szCs w:val="20"/>
          <w:vertAlign w:val="superscript"/>
          <w:lang w:val="en-US"/>
        </w:rPr>
        <w:t>[19]</w:t>
      </w:r>
      <w:r>
        <w:rPr>
          <w:rFonts w:ascii="Times New Roman" w:hAnsi="Times New Roman" w:eastAsia="Times New Roman" w:cs="Times New Roman"/>
          <w:b w:val="0"/>
          <w:bCs w:val="0"/>
          <w:sz w:val="20"/>
          <w:szCs w:val="20"/>
        </w:rPr>
        <w:t xml:space="preserve"> thể hiện cách tiếp cận kết hợp thông qua chương trình Cử nhân Thiết kế (Đồ họa và Truyền thông Số). Thay vì chỉ chấm bài kín, RMIT yêu cầu sinh viên xây dựng danh mục đầu tư liên tục trong suốt 3 năm học và biến việc trưng bày thành điều kiện cốt lõi. Các sự kiện định kỳ như "Stream(Line) Digital Media Studio Showcase" hay "Brilliant Brushwork" tạo không gian kết nối trực tiếp với các nhà tuyển dụng. Nhờ sự kết hợp giữa đào tạo lý thuyết và tư duy hệ thống hóa danh mục đầu tư chuyên nghiệp, cựu sinh viên RMIT đã có lợi thế lớn trên thị trường, nhiều người đã thành lập các studio thiết kế độc lập và làm việc với các thương hiệu toàn cầu. Tuy nhiên, việc vận hành một nền tảng danh mục đầu tư số tập trung hoàn toàn mang thương hiệu trường đại học vẫn là một bài toán chưa được giải quyết triệt để tại nhiều trường đại học công lập và tư thục khác ở Việt Nam.</w:t>
      </w:r>
    </w:p>
    <w:p w14:paraId="432A59BB">
      <w:pPr>
        <w:spacing w:line="240" w:lineRule="auto"/>
      </w:pPr>
    </w:p>
    <w:p w14:paraId="14ED733A">
      <w:pPr>
        <w:spacing w:before="80" w:after="80" w:line="240" w:lineRule="auto"/>
        <w:jc w:val="left"/>
      </w:pPr>
      <w:r>
        <w:rPr>
          <w:rFonts w:ascii="Times New Roman" w:hAnsi="Times New Roman" w:eastAsia="Times New Roman" w:cs="Times New Roman"/>
          <w:b/>
          <w:bCs/>
          <w:sz w:val="20"/>
          <w:szCs w:val="20"/>
        </w:rPr>
        <w:t>2.5. Đề xuất khung lý thuyết: Mô hình nền tảng lai</w:t>
      </w:r>
    </w:p>
    <w:p w14:paraId="3CA48E6A">
      <w:pPr>
        <w:spacing w:after="0" w:line="240" w:lineRule="auto"/>
        <w:jc w:val="both"/>
      </w:pPr>
      <w:r>
        <w:rPr>
          <w:rFonts w:ascii="Times New Roman" w:hAnsi="Times New Roman" w:eastAsia="Times New Roman" w:cs="Times New Roman"/>
          <w:b w:val="0"/>
          <w:bCs w:val="0"/>
          <w:sz w:val="20"/>
          <w:szCs w:val="20"/>
        </w:rPr>
        <w:t>Để hóa giải nghịch lý giữa "học tập khép kín" và "trưng bày mở rộng", đồng thời thiết lập rào chắn kỹ thuật bảo vệ sinh viên trước AI, nghiên cứu đề xuất khung lý thuyết mới: Mô hình nền tảng lai giữa sư phạm và chuyên nghiệp — hệ thống công nghệ giáo dục kết hợp tinh hoa của cả hai thế giới. Nền tảng này duy trì tính bảo mật, chuẩn mực sư phạm và quy trình đánh giá nghiêm ngặt của LMS, nhưng khoác lên mình giao diện trực quan và tính năng kết nối nghề nghiệp mở của các nền tảng đại chúng, được tinh chỉnh dành riêng cho đặc thù của một chuyên ngành đào tạo.</w:t>
      </w:r>
    </w:p>
    <w:p w14:paraId="78A5CA2F">
      <w:pPr>
        <w:spacing w:after="0" w:line="240" w:lineRule="auto"/>
        <w:jc w:val="both"/>
      </w:pPr>
      <w:r>
        <w:rPr>
          <w:rFonts w:ascii="Times New Roman" w:hAnsi="Times New Roman" w:eastAsia="Times New Roman" w:cs="Times New Roman"/>
          <w:b w:val="0"/>
          <w:bCs w:val="0"/>
          <w:sz w:val="20"/>
          <w:szCs w:val="20"/>
        </w:rPr>
        <w:t>Khung lý thuyết này bám rễ vào ba trụ cột học thuật: (1) Thuyết Cộng đồng thực hành — học diễn ra hiệu quả nhất khi người học được nhúng vào môi trường mô phỏng không gian nghề nghiệp thực tế ngay từ năm nhất</w:t>
      </w:r>
      <w:r>
        <w:rPr>
          <w:rFonts w:hint="default" w:ascii="Times New Roman" w:hAnsi="Times New Roman" w:eastAsia="Times New Roman" w:cs="Times New Roman"/>
          <w:b w:val="0"/>
          <w:bCs w:val="0"/>
          <w:sz w:val="20"/>
          <w:szCs w:val="20"/>
          <w:vertAlign w:val="superscript"/>
          <w:lang w:val="en-US"/>
        </w:rPr>
        <w:t>[8]</w:t>
      </w:r>
      <w:r>
        <w:rPr>
          <w:rFonts w:ascii="Times New Roman" w:hAnsi="Times New Roman" w:eastAsia="Times New Roman" w:cs="Times New Roman"/>
          <w:b w:val="0"/>
          <w:bCs w:val="0"/>
          <w:sz w:val="20"/>
          <w:szCs w:val="20"/>
        </w:rPr>
        <w:t>; (2) Thuyết Học tập dựa trên năng lực — minh chứng đánh giá phải rõ ràng, đa chiều, có khả năng kiểm chứng độc lập (đáp ứng tiêu chuẩn kiểm định); và (3) Triết lý Tài sản nghề nghiệp bền vững — mọi đồ án từ những học kỳ đầu tiên phải được tích lũy thành khối tài sản phục vụ cho lộ trình nghề nghiệp trọn đời, được bảo chứng bởi nhà trường.</w:t>
      </w:r>
    </w:p>
    <w:p w14:paraId="5BEAFC5E">
      <w:pPr>
        <w:spacing w:line="240" w:lineRule="auto"/>
      </w:pPr>
    </w:p>
    <w:p w14:paraId="42FE682E">
      <w:pPr>
        <w:spacing w:before="80" w:after="80" w:line="240" w:lineRule="auto"/>
        <w:jc w:val="left"/>
      </w:pPr>
      <w:r>
        <w:rPr>
          <w:rFonts w:ascii="Times New Roman" w:hAnsi="Times New Roman" w:eastAsia="Times New Roman" w:cs="Times New Roman"/>
          <w:b/>
          <w:bCs/>
          <w:sz w:val="20"/>
          <w:szCs w:val="20"/>
        </w:rPr>
        <w:t>3. PHƯƠNG PHÁP NGHIÊN CỨU</w:t>
      </w:r>
    </w:p>
    <w:p w14:paraId="33C710E8">
      <w:pPr>
        <w:spacing w:before="80" w:after="80" w:line="240" w:lineRule="auto"/>
        <w:jc w:val="left"/>
      </w:pPr>
      <w:r>
        <w:rPr>
          <w:rFonts w:ascii="Times New Roman" w:hAnsi="Times New Roman" w:eastAsia="Times New Roman" w:cs="Times New Roman"/>
          <w:b/>
          <w:bCs/>
          <w:sz w:val="20"/>
          <w:szCs w:val="20"/>
        </w:rPr>
        <w:t>3.1. Thiết kế nghiên cứu và công cụ thu thập dữ liệu</w:t>
      </w:r>
    </w:p>
    <w:p w14:paraId="3C2010F0">
      <w:pPr>
        <w:spacing w:after="0" w:line="240" w:lineRule="auto"/>
        <w:jc w:val="both"/>
      </w:pPr>
      <w:r>
        <w:rPr>
          <w:rFonts w:ascii="Times New Roman" w:hAnsi="Times New Roman" w:eastAsia="Times New Roman" w:cs="Times New Roman"/>
          <w:b w:val="0"/>
          <w:bCs w:val="0"/>
          <w:sz w:val="20"/>
          <w:szCs w:val="20"/>
        </w:rPr>
        <w:t>Để giải quyết bài toán với mức độ phức tạp cao, đòi hỏi cả nền tảng công nghệ lẫn thấu hiểu tâm lý người học, nghiên cứu sử dụng phương pháp Thiết kế và Phát triển Hệ thống kết hợp với phương pháp nghiên cứu hỗn hợp. Việc thu thập dữ liệu đa chiều là cốt lõi để đảm bảo hệ thống khi phát triển sẽ giải quyết đúng "nỗi đau" của người dùng. Quy trình được tiến hành song song qua hai kênh: bảng khảo sát định lượng trực tuyến để đánh giá bức tranh tổng thể, và các cuộc phỏng vấn sâu định tính để trích xuất những yêu cầu học thuật khắt khe.</w:t>
      </w:r>
    </w:p>
    <w:p w14:paraId="231EF87F">
      <w:pPr>
        <w:spacing w:after="0" w:line="240" w:lineRule="auto"/>
        <w:jc w:val="both"/>
      </w:pPr>
      <w:r>
        <w:rPr>
          <w:rFonts w:ascii="Times New Roman" w:hAnsi="Times New Roman" w:eastAsia="Times New Roman" w:cs="Times New Roman"/>
          <w:b w:val="0"/>
          <w:bCs w:val="0"/>
          <w:sz w:val="20"/>
          <w:szCs w:val="20"/>
        </w:rPr>
        <w:t>Sự kết hợp này cho phép nghiên cứu lượng hóa được sự bất mãn của số đông sinh viên đối với các công cụ hiện hữu, đồng thời thấu hiểu được nguyên lý sư phạm phức tạp đằng sau việc chấm điểm và bảo vệ bản quyền từ phía giảng viên và chuyên gia.</w:t>
      </w:r>
    </w:p>
    <w:p w14:paraId="1285081D">
      <w:pPr>
        <w:spacing w:line="240" w:lineRule="auto"/>
      </w:pPr>
    </w:p>
    <w:p w14:paraId="11F6D71F">
      <w:pPr>
        <w:spacing w:before="80" w:after="80" w:line="240" w:lineRule="auto"/>
        <w:jc w:val="left"/>
      </w:pPr>
      <w:r>
        <w:rPr>
          <w:rFonts w:ascii="Times New Roman" w:hAnsi="Times New Roman" w:eastAsia="Times New Roman" w:cs="Times New Roman"/>
          <w:b/>
          <w:bCs/>
          <w:sz w:val="20"/>
          <w:szCs w:val="20"/>
        </w:rPr>
        <w:t>3.2. Triển khai khảo sát định lượng với sinh viên</w:t>
      </w:r>
    </w:p>
    <w:p w14:paraId="238CC78A">
      <w:pPr>
        <w:spacing w:after="0" w:line="240" w:lineRule="auto"/>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Nhóm nghiên cứu tiến hành thu thập ý kiến từ sinh viên đang theo học các năm từ năm 1 đến năm 4 thuộc chuyên ngành Thiết kế Đồ họa, với trọng tâm là nhóm đối tượng chính và quan trọng nhất của nghiên cứu — bởi đây chính là những người sử dụng trực tiếp và lâu dài của nền tảng UEF Design Gallery trong suốt hành trình học tập. Nội dung khảo sát được xây dựng dựa trên Mô hình chấp nhận công nghệ (Technology Acceptance Model - TAM), xoay quanh các nhóm vấn đề: thói quen quản lý sản phẩm học tập hiện tại, những khó khăn khi sử dụng song song các công cụ hiện hữu, nhu cầu về tính năng mong muốn, và mức độ sẵn sàng tiếp nhận một hệ thống mới. Các câu hỏi được thiết kế theo thang đo Likert 5 mức độ nhằm phản ánh sắc thái thái độ của người học.</w:t>
      </w:r>
    </w:p>
    <w:p w14:paraId="69741FA1">
      <w:pPr>
        <w:spacing w:after="0" w:line="240" w:lineRule="auto"/>
        <w:jc w:val="both"/>
      </w:pPr>
      <w:r>
        <w:rPr>
          <w:rFonts w:hint="default" w:ascii="Times New Roman" w:hAnsi="Times New Roman" w:eastAsia="SimSun" w:cs="Times New Roman"/>
          <w:sz w:val="20"/>
          <w:szCs w:val="20"/>
        </w:rPr>
        <w:t>Kết quả thu thập được cho thấy một bức tranh đáng báo động và mang tính đại diện cao cho cộng đồng sinh viên ngành: phần lớn sinh viên đồng ý rằng việc sử dụng hệ thống nội bộ (như Canvas/Moodle) chỉ để lấy điểm, sau đó phải tự xây dựng lại hồ sơ trên Behance, gây hao phí thời gian và công sức đáng kể. Đặc biệt, một tỷ lệ rất lớn sinh viên bày tỏ nỗi sợ hãi mang tên "áp lực hoàn hảo hóa", dẫn đến việc họ chỉ dám công khai sản phẩm cuối và giấu đi toàn bộ quá trình sáng tạo. Khi được hỏi về tính năng mong muốn, "Chế độ nháp an toàn" và "Không gian phản hồi kín từ giảng viên" vươn lên dẫn đầu, vượt qua cả kỳ vọng về giao diện đẹp mắt. Kết quả này khẳng định rằng sinh viên thiết kế khát khao một môi trường an toàn về mặt tâm lý trước khi bước ra không gian chuyên nghiệp, nơi họ có thể trình bày các lỗi sai và học hỏi từ chúng mà không sợ bị phán xét bởi đám đông mạng xã hội.</w:t>
      </w:r>
    </w:p>
    <w:p w14:paraId="5E69FDC5">
      <w:pPr>
        <w:spacing w:line="240" w:lineRule="auto"/>
      </w:pPr>
    </w:p>
    <w:p w14:paraId="2CA6063D">
      <w:pPr>
        <w:spacing w:before="80" w:after="80" w:line="240" w:lineRule="auto"/>
        <w:jc w:val="left"/>
      </w:pPr>
      <w:r>
        <w:rPr>
          <w:rFonts w:ascii="Times New Roman" w:hAnsi="Times New Roman" w:eastAsia="Times New Roman" w:cs="Times New Roman"/>
          <w:b/>
          <w:bCs/>
          <w:sz w:val="20"/>
          <w:szCs w:val="20"/>
        </w:rPr>
        <w:t>3.3. Phỏng vấn sâu định tính chuyên gia và doanh nghiệp</w:t>
      </w:r>
    </w:p>
    <w:p w14:paraId="27EF4D46">
      <w:pPr>
        <w:spacing w:after="0"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Bên cạnh nguồn dữ liệu trọng tâm từ sinh viên, để có thêm góc nhìn đối chiếu, nhóm nghiên cứu cũng ghi nhận ý kiến từ một số giảng viên cơ hữu chuyên môn và đại diện từ các công ty thiết kế truyền thông số. Đây là các nhóm chủ thể mang tính tham chiếu, bổ trợ cho việc hoàn thiện thiết kế hệ thống chứ không phải đối tượng khảo sát trung tâm của nghiên cứu. Thông qua quá trình trao đổi và tổng hợp ý kiến, nhóm nghiên cứu đúc kết được một số yêu cầu đáng lưu ý.</w:t>
      </w:r>
    </w:p>
    <w:p w14:paraId="3D86C5C2">
      <w:pPr>
        <w:spacing w:after="0" w:line="240" w:lineRule="auto"/>
        <w:jc w:val="both"/>
        <w:rPr>
          <w:rFonts w:hint="default" w:ascii="Times New Roman" w:hAnsi="Times New Roman" w:cs="Times New Roman"/>
          <w:sz w:val="20"/>
          <w:szCs w:val="20"/>
        </w:rPr>
      </w:pPr>
      <w:r>
        <w:rPr>
          <w:rFonts w:hint="default" w:ascii="Times New Roman" w:hAnsi="Times New Roman" w:eastAsia="SimSun" w:cs="Times New Roman"/>
          <w:sz w:val="20"/>
          <w:szCs w:val="20"/>
        </w:rPr>
        <w:t>Về phía giảng viên: Mong muốn hệ thống tự động phân loại bài nộp theo chuyên đề (Đồ họa 3D, Nhận diện thương hiệu, Minh họa) để dễ dàng đánh giá chuẩn đầu ra phục vụ công tác làm báo cáo kiểm định AUN-QA, và cần tính năng "Gắn thẻ xuất sắc" để vinh danh tác phẩm đạt chuẩn. Các giảng viên cũng lo ngại về nạn "đạo nhái ý tưởng" nhờ công cụ AI, yêu cầu hệ thống phải lưu vết được quá trình hình thành ý tưởng.</w:t>
      </w:r>
    </w:p>
    <w:p w14:paraId="4856CABF">
      <w:pPr>
        <w:spacing w:after="0" w:line="240" w:lineRule="auto"/>
        <w:jc w:val="both"/>
      </w:pPr>
      <w:r>
        <w:rPr>
          <w:rFonts w:hint="default" w:ascii="Times New Roman" w:hAnsi="Times New Roman" w:eastAsia="SimSun" w:cs="Times New Roman"/>
          <w:sz w:val="20"/>
          <w:szCs w:val="20"/>
        </w:rPr>
        <w:t>Về phía doanh nghiệp: Kịch liệt phản đối các bộ hồ sơ tràn lan thiếu kiểm chứng. Trong bối cảnh công cụ AI tạo sinh có thể tạo ra một bức ảnh lộng lẫy chỉ bằng vài dòng lệnh, doanh nghiệp gặp khó khăn cực độ trong việc phân biệt đâu là tư duy thiết kế thật sự và đâu là sản phẩm phái sinh. Thay vào đó, họ đánh giá cao tác phẩm gắn kèm thương hiệu số của nhà trường như một lớp bảo chứng chất lượng đầu vào, khẳng định sinh viên đó đã vượt qua hàng chục giờ thực hành chuyên sâu.</w:t>
      </w:r>
    </w:p>
    <w:p w14:paraId="48A64A32">
      <w:pPr>
        <w:spacing w:line="240" w:lineRule="auto"/>
      </w:pPr>
    </w:p>
    <w:p w14:paraId="16AE1C16">
      <w:pPr>
        <w:spacing w:before="80" w:after="80" w:line="240" w:lineRule="auto"/>
        <w:jc w:val="left"/>
      </w:pPr>
      <w:r>
        <w:rPr>
          <w:rFonts w:ascii="Times New Roman" w:hAnsi="Times New Roman" w:eastAsia="Times New Roman" w:cs="Times New Roman"/>
          <w:b/>
          <w:bCs/>
          <w:sz w:val="20"/>
          <w:szCs w:val="20"/>
        </w:rPr>
        <w:t>3.4. Kiến trúc hệ thống và thiết kế phân hệ cơ sở dữ liệu</w:t>
      </w:r>
    </w:p>
    <w:p w14:paraId="3B61C912">
      <w:pPr>
        <w:spacing w:after="0" w:line="240" w:lineRule="auto"/>
        <w:jc w:val="both"/>
      </w:pPr>
      <w:r>
        <w:rPr>
          <w:rFonts w:ascii="Times New Roman" w:hAnsi="Times New Roman" w:eastAsia="Times New Roman" w:cs="Times New Roman"/>
          <w:b w:val="0"/>
          <w:bCs w:val="0"/>
          <w:sz w:val="20"/>
          <w:szCs w:val="20"/>
        </w:rPr>
        <w:t>Chắt lọc tinh hoa từ kết quả khảo sát và phỏng vấn, kiến trúc hệ thống UEF Design Gallery không được thiết kế theo tư duy lưu trữ tập tin thông thường,</w:t>
      </w:r>
      <w:r>
        <w:rPr>
          <w:rFonts w:ascii="Times New Roman" w:hAnsi="Times New Roman" w:eastAsia="Times New Roman" w:cs="Times New Roman"/>
          <w:sz w:val="16"/>
          <w:szCs w:val="16"/>
          <w:vertAlign w:val="superscript"/>
        </w:rPr>
        <w:t>[</w:t>
      </w:r>
      <w:r>
        <w:rPr>
          <w:rFonts w:hint="default" w:ascii="Times New Roman" w:hAnsi="Times New Roman" w:eastAsia="Times New Roman" w:cs="Times New Roman"/>
          <w:sz w:val="16"/>
          <w:szCs w:val="16"/>
          <w:vertAlign w:val="superscript"/>
          <w:lang w:val="en-US"/>
        </w:rPr>
        <w:t>20</w:t>
      </w:r>
      <w:r>
        <w:rPr>
          <w:rFonts w:ascii="Times New Roman" w:hAnsi="Times New Roman" w:eastAsia="Times New Roman" w:cs="Times New Roman"/>
          <w:sz w:val="16"/>
          <w:szCs w:val="16"/>
          <w:vertAlign w:val="superscript"/>
        </w:rPr>
        <w:t>]</w:t>
      </w:r>
      <w:r>
        <w:rPr>
          <w:rFonts w:ascii="Times New Roman" w:hAnsi="Times New Roman" w:eastAsia="Times New Roman" w:cs="Times New Roman"/>
          <w:sz w:val="20"/>
          <w:szCs w:val="20"/>
        </w:rPr>
        <w:t xml:space="preserve"> mà được cấu trúc thành ba phân hệ cơ sở dữ liệu chức năng mạnh mẽ, phục vụ chuyên biệt cho từng luồng người dùng, tạo thành một hệ sinh thái học thuật khép kín nhưng có đầu ra mở.</w:t>
      </w:r>
    </w:p>
    <w:p w14:paraId="12F0EB6B">
      <w:pPr>
        <w:spacing w:after="0" w:line="240" w:lineRule="auto"/>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Phân hệ 1: Xây dựng và Trưng bày Hồ sơ Năng lực (Dành cho Sinh viên). Khác với LMS truyền thống vốn chỉ lưu tác phẩm dưới dạng tệp đính kèm trong khung chấm điểm, phân hệ này trao cho sinh viên quyền chủ động tổ chức và trình bày tác phẩm theo cách của người làm nghề thực thụ. Mỗi tác phẩm được gắn thông tin bắt buộc gồm môn học, năm học, công cụ sử dụng và thẻ định danh — tạo nên một cấu trúc dữ liệu nhất quán có thể tra cứu, không phụ thuộc vào trí nhớ hay thói quen đặt tên file của từng cá nhân. Hệ thống cũng hỗ trợ ghi nhận đóng góp của các thành viên trong đồ án nhóm, giải quyết một lỗ hổng phổ biến trong đánh giá học thuật hiện nay. Điểm tạo ra sự khác biệt rõ nhất là công cụ dàn trang Portfolio: sinh viên tự sắp xếp bố cục trang hồ sơ cá nhân theo kiểu kéo-thả, xuất ra định dạng PDF chất lượng cao để nộp bài hoặc in ấn, hoặc xuất bản thành trang web cá nhân mang định danh của nhà trường.</w:t>
      </w:r>
    </w:p>
    <w:p w14:paraId="5E632835">
      <w:pPr>
        <w:spacing w:after="0" w:line="240" w:lineRule="auto"/>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Phân hệ 2: Đánh giá và Kiểm định Học thuật (Dành cho Giảng viên). Đây là phần mang giá trị sư phạm trực tiếp nhất của hệ thống, vì nó giải quyết một bất cập cụ thể mà các giảng viên phản ánh trong quá trình phỏng vấn: hiện tại, việc chấm điểm và việc lưu trữ tác phẩm sinh viên diễn ra trên hai nền tảng hoàn toàn tách biệt, không có điểm kết nối. Trong phân hệ này, giảng viên truy cập tác phẩm sinh viên qua tài khoản phân quyền riêng, thực hiện nhận xét và chấm điểm ngay trên nền tảng với tùy chọn để phản hồi ở chế độ riêng tư — chỉ sinh viên được chỉ định mới xem được. Các tác phẩm được đánh giá cao có thể được giảng viên tập hợp thành bộ sưu tập theo môn học hoặc học kỳ, vừa phục vụ như học liệu tham khảo cho các khóa học sau, vừa tạo thành kho minh chứng chuẩn đầu ra có tổ chức — thứ mà các đợt kiểm định AUN-QA đòi hỏi nhưng hiện nay phần lớn các khoa phải thu thập thủ công.</w:t>
      </w:r>
    </w:p>
    <w:p w14:paraId="2D8917D9">
      <w:pPr>
        <w:spacing w:after="0" w:line="240" w:lineRule="auto"/>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Phân hệ 3: Định danh và Kết nối Tuyển dụng (Dành cho Doanh nghiệp). Khi tác phẩm được chuyển sang trạng thái công khai, mỗi sinh viên có một trang hồ sơ học thuật chính thức mang định danh của nhà trường. Sự khác biệt so với một trang Behance cá nhân không chỉ nằm ở tên miền — mà ở thông tin đứng phía sau: người xem biết rằng tác phẩm trên trang đó đã qua quy trình đánh giá học thuật, không phải tự sinh viên tuyên bố. Doanh nghiệp có thể gửi yêu cầu liên hệ trực tiếp qua biểu mẫu tích hợp sẵn trên trang hồ sơ, thông báo được chuyển vào tài khoản sinh viên mà không lộ thông tin cá nhân ra bên ngoài. Sinh viên đồng thời có thể theo dõi mức độ quan tâm từ cộng đồng và doanh nghiệp thông qua các chỉ số tương tác cơ bản trên trang cá nhân của mình.</w:t>
      </w:r>
    </w:p>
    <w:p w14:paraId="2791CED7">
      <w:pPr>
        <w:spacing w:before="80" w:after="80" w:line="240" w:lineRule="auto"/>
        <w:jc w:val="left"/>
      </w:pPr>
      <w:r>
        <w:rPr>
          <w:rFonts w:ascii="Times New Roman" w:hAnsi="Times New Roman" w:eastAsia="Times New Roman" w:cs="Times New Roman"/>
          <w:b/>
          <w:bCs/>
          <w:sz w:val="20"/>
          <w:szCs w:val="20"/>
        </w:rPr>
        <w:t>4. KẾT QUẢ NGHIÊN CỨU VÀ THẢO LUẬN</w:t>
      </w:r>
    </w:p>
    <w:p w14:paraId="46ADAD62">
      <w:pPr>
        <w:spacing w:before="80" w:after="80" w:line="240" w:lineRule="auto"/>
        <w:jc w:val="left"/>
      </w:pPr>
      <w:r>
        <w:rPr>
          <w:rFonts w:ascii="Times New Roman" w:hAnsi="Times New Roman" w:eastAsia="Times New Roman" w:cs="Times New Roman"/>
          <w:b/>
          <w:bCs/>
          <w:sz w:val="20"/>
          <w:szCs w:val="20"/>
        </w:rPr>
        <w:t>4.1. Thư viện số học thuật có cấu trúc minh bạch</w:t>
      </w:r>
    </w:p>
    <w:p w14:paraId="20E7E553">
      <w:pPr>
        <w:spacing w:after="0" w:line="240" w:lineRule="auto"/>
        <w:jc w:val="both"/>
      </w:pPr>
      <w:r>
        <w:rPr>
          <w:rFonts w:ascii="Times New Roman" w:hAnsi="Times New Roman" w:eastAsia="Times New Roman" w:cs="Times New Roman"/>
          <w:b w:val="0"/>
          <w:bCs w:val="0"/>
          <w:sz w:val="20"/>
          <w:szCs w:val="20"/>
        </w:rPr>
        <w:t>Kết quả đột phá nhất của nguyên mẫu UEF Design Gallery là việc kiến tạo thành công một hệ thống dữ liệu có cấu trúc phân tầng nghiêm ngặt, bám sát triệt để khung chương trình đào tạo. Trong khi trên Behance, người xem chỉ thấy các bộ sưu tập rời rạc xếp theo ngẫu hứng cá nhân, thì tại đây, toàn bộ tác phẩm bị buộc phải định danh theo bốn chiều không gian học thuật: Năm học, Khóa học, Môn học chuyên ngành, và Công cụ kỹ thuật.</w:t>
      </w:r>
    </w:p>
    <w:p w14:paraId="3C60C234">
      <w:pPr>
        <w:spacing w:after="0" w:line="240" w:lineRule="auto"/>
        <w:jc w:val="both"/>
      </w:pPr>
      <w:r>
        <w:rPr>
          <w:rFonts w:ascii="Times New Roman" w:hAnsi="Times New Roman" w:eastAsia="Times New Roman" w:cs="Times New Roman"/>
          <w:b w:val="0"/>
          <w:bCs w:val="0"/>
          <w:sz w:val="20"/>
          <w:szCs w:val="20"/>
        </w:rPr>
        <w:t>Kiến trúc này mang lại lợi ích kép vô giá. Về mặt sư phạm, hệ thống tự động hình thành một "thư viện số học thuật" sống động và liên tục được làm giàu qua từng năm — sinh viên năm nhất có thể lập tức tra cứu và nghiên cứu các đồ án xuất sắc đạt điểm A của khóa trước, tạo nên văn hóa học tập đồng đẳng mạnh mẽ có định hướng rõ ràng. Về phía thị trường, doanh nghiệp được trao vào tay công cụ lọc nhân sự cực kỳ bén nhọn, cho phép họ khoanh vùng chính xác những ứng viên sở hữu các kỹ năng ngách mà họ đang khao khát bổ sung trong bối cảnh thiếu hụt 60.000 chuyên viên, tiết kiệm đáng kể chi phí tuyển dụng.</w:t>
      </w:r>
    </w:p>
    <w:p w14:paraId="7DA3D232">
      <w:pPr>
        <w:spacing w:line="240" w:lineRule="auto"/>
      </w:pPr>
    </w:p>
    <w:p w14:paraId="07578315">
      <w:pPr>
        <w:spacing w:before="80" w:after="80" w:line="240" w:lineRule="auto"/>
        <w:jc w:val="left"/>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4.2. Số hóa quy trình đánh giá sư phạm khép kín</w:t>
      </w:r>
    </w:p>
    <w:p w14:paraId="1EA39836">
      <w:pPr>
        <w:spacing w:before="80" w:after="80" w:line="240" w:lineRule="auto"/>
        <w:jc w:val="center"/>
        <w:rPr>
          <w:sz w:val="16"/>
          <w:szCs w:val="16"/>
        </w:rPr>
      </w:pPr>
      <w:r>
        <w:rPr>
          <w:sz w:val="16"/>
          <w:szCs w:val="16"/>
        </w:rPr>
        <w:drawing>
          <wp:inline distT="114300" distB="114300" distL="114300" distR="114300">
            <wp:extent cx="1411605" cy="4488180"/>
            <wp:effectExtent l="0" t="0" r="5715" b="762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1412021" cy="4488672"/>
                    </a:xfrm>
                    <a:prstGeom prst="rect">
                      <a:avLst/>
                    </a:prstGeom>
                  </pic:spPr>
                </pic:pic>
              </a:graphicData>
            </a:graphic>
          </wp:inline>
        </w:drawing>
      </w:r>
    </w:p>
    <w:p w14:paraId="2A871C7C">
      <w:pPr>
        <w:spacing w:after="0" w:line="240" w:lineRule="auto"/>
        <w:jc w:val="center"/>
        <w:rPr>
          <w:rFonts w:hint="default" w:ascii="Times New Roman" w:hAnsi="Times New Roman" w:eastAsia="SimSun" w:cs="Times New Roman"/>
          <w:b/>
          <w:bCs/>
          <w:sz w:val="20"/>
          <w:szCs w:val="20"/>
        </w:rPr>
      </w:pPr>
      <w:r>
        <w:rPr>
          <w:rStyle w:val="18"/>
          <w:rFonts w:hint="default" w:ascii="Times New Roman" w:hAnsi="Times New Roman" w:eastAsia="SimSun" w:cs="Times New Roman"/>
          <w:b/>
          <w:bCs/>
          <w:sz w:val="20"/>
          <w:szCs w:val="20"/>
        </w:rPr>
        <w:t>Hình 1.</w:t>
      </w:r>
      <w:r>
        <w:rPr>
          <w:rFonts w:hint="default" w:ascii="Times New Roman" w:hAnsi="Times New Roman" w:eastAsia="SimSun" w:cs="Times New Roman"/>
          <w:b/>
          <w:bCs/>
          <w:sz w:val="20"/>
          <w:szCs w:val="20"/>
        </w:rPr>
        <w:t xml:space="preserve"> Quy trình đánh giá sư phạm khép kín trên nền tảng UEF Design Gallery </w:t>
      </w:r>
    </w:p>
    <w:p w14:paraId="1819C2EF">
      <w:pPr>
        <w:spacing w:after="0" w:line="240" w:lineRule="auto"/>
        <w:jc w:val="center"/>
        <w:rPr>
          <w:rFonts w:hint="default" w:ascii="Times New Roman" w:hAnsi="Times New Roman" w:eastAsia="SimSun" w:cs="Times New Roman"/>
          <w:i/>
          <w:iCs/>
          <w:sz w:val="20"/>
          <w:szCs w:val="20"/>
          <w:lang w:val="en-US"/>
        </w:rPr>
      </w:pPr>
      <w:r>
        <w:rPr>
          <w:rFonts w:hint="default" w:ascii="Times New Roman" w:hAnsi="Times New Roman" w:eastAsia="SimSun" w:cs="Times New Roman"/>
          <w:i/>
          <w:iCs/>
          <w:sz w:val="20"/>
          <w:szCs w:val="20"/>
          <w:lang w:val="en-US"/>
        </w:rPr>
        <w:t>(</w:t>
      </w:r>
      <w:r>
        <w:rPr>
          <w:rFonts w:hint="default" w:ascii="Times New Roman" w:hAnsi="Times New Roman" w:eastAsia="SimSun" w:cs="Times New Roman"/>
          <w:i/>
          <w:iCs/>
          <w:sz w:val="20"/>
          <w:szCs w:val="20"/>
        </w:rPr>
        <w:t>Nguồn: Đúc kết từ phân tích và thiết kế của nhóm tác giả, 202</w:t>
      </w:r>
      <w:r>
        <w:rPr>
          <w:rFonts w:hint="default" w:ascii="Times New Roman" w:hAnsi="Times New Roman" w:eastAsia="SimSun" w:cs="Times New Roman"/>
          <w:i/>
          <w:iCs/>
          <w:sz w:val="20"/>
          <w:szCs w:val="20"/>
          <w:lang w:val="en-US"/>
        </w:rPr>
        <w:t>6</w:t>
      </w:r>
      <w:r>
        <w:rPr>
          <w:rFonts w:hint="default" w:ascii="Times New Roman" w:hAnsi="Times New Roman" w:eastAsia="SimSun" w:cs="Times New Roman"/>
          <w:i/>
          <w:iCs/>
          <w:sz w:val="20"/>
          <w:szCs w:val="20"/>
        </w:rPr>
        <w:t xml:space="preserve"> — tài liệu nội bộ </w:t>
      </w:r>
      <w:r>
        <w:rPr>
          <w:rFonts w:hint="default" w:ascii="Times New Roman" w:hAnsi="Times New Roman" w:eastAsia="SimSun" w:cs="Times New Roman"/>
          <w:i/>
          <w:iCs/>
          <w:sz w:val="20"/>
          <w:szCs w:val="20"/>
          <w:vertAlign w:val="superscript"/>
        </w:rPr>
        <w:t>[</w:t>
      </w:r>
      <w:r>
        <w:rPr>
          <w:rFonts w:hint="default" w:ascii="Times New Roman" w:hAnsi="Times New Roman" w:eastAsia="SimSun" w:cs="Times New Roman"/>
          <w:i/>
          <w:iCs/>
          <w:sz w:val="20"/>
          <w:szCs w:val="20"/>
          <w:vertAlign w:val="superscript"/>
          <w:lang w:val="en-US"/>
        </w:rPr>
        <w:t>20</w:t>
      </w:r>
      <w:r>
        <w:rPr>
          <w:rFonts w:hint="default" w:ascii="Times New Roman" w:hAnsi="Times New Roman" w:eastAsia="SimSun" w:cs="Times New Roman"/>
          <w:i/>
          <w:iCs/>
          <w:sz w:val="20"/>
          <w:szCs w:val="20"/>
          <w:vertAlign w:val="superscript"/>
        </w:rPr>
        <w:t>]</w:t>
      </w:r>
      <w:r>
        <w:rPr>
          <w:rFonts w:hint="default" w:ascii="Times New Roman" w:hAnsi="Times New Roman" w:eastAsia="SimSun" w:cs="Times New Roman"/>
          <w:i/>
          <w:iCs/>
          <w:sz w:val="20"/>
          <w:szCs w:val="20"/>
          <w:lang w:val="en-US"/>
        </w:rPr>
        <w:t>)</w:t>
      </w:r>
    </w:p>
    <w:p w14:paraId="145D0EA2">
      <w:pPr>
        <w:spacing w:after="0" w:line="240" w:lineRule="auto"/>
        <w:jc w:val="both"/>
      </w:pPr>
      <w:r>
        <w:rPr>
          <w:rFonts w:ascii="Times New Roman" w:hAnsi="Times New Roman" w:eastAsia="Times New Roman" w:cs="Times New Roman"/>
          <w:b w:val="0"/>
          <w:bCs w:val="0"/>
          <w:sz w:val="20"/>
          <w:szCs w:val="20"/>
        </w:rPr>
        <w:t>Quy trình đánh giá khép kín chính là chiều sâu học thuật làm nên giá trị cốt lõi của nghiên cứu này. Quy trình này xóa bỏ hoàn toàn lỗ hổng của các nền tảng mạng xã hội thông thường. Thay vì phơi bày bản nháp ra trước bão dư luận mạng, cơ chế phản hồi kín của UEF Design Gallery thiết lập một vùng đệm an toàn tuyệt đối — sinh viên nhận điểm, đọc những lời phê bình chuyên môn từ giảng viên, và tự do sửa chữa mà không bị chi phối bởi lượt "thích" hay bình luận tiêu cực của người ngoài.</w:t>
      </w:r>
    </w:p>
    <w:p w14:paraId="5AE4981F">
      <w:pPr>
        <w:spacing w:after="0" w:line="240" w:lineRule="auto"/>
        <w:jc w:val="both"/>
      </w:pPr>
      <w:r>
        <w:rPr>
          <w:rFonts w:ascii="Times New Roman" w:hAnsi="Times New Roman" w:eastAsia="Times New Roman" w:cs="Times New Roman"/>
          <w:b w:val="0"/>
          <w:bCs w:val="0"/>
          <w:sz w:val="20"/>
          <w:szCs w:val="20"/>
        </w:rPr>
        <w:t>Đặc biệt, huy hiệu "Đã qua kiểm định học thuật" là một bước tiến dài trong giáo dục số. Bất kỳ tác phẩm nào xuất hiện trên không gian trưng bày công khai của UEF Design Gallery đều mang thông điệp mạnh mẽ: đây không phải sản phẩm từ câu lệnh AI trong 5 phút, mà là minh chứng cho hàng chục giờ lao động trí óc, đã được rèn giũa qua các bài giảng chuyên môn và đáp ứng vượt mức các tiêu chuẩn học thuật của trường đại học. Cơ chế này thỏa mãn trực tiếp yêu cầu của Bộ Giáo dục và Đào tạo và chuẩn AUN-QA về tính minh bạch của đầu ra.</w:t>
      </w:r>
    </w:p>
    <w:p w14:paraId="0A7B8A08">
      <w:pPr>
        <w:spacing w:line="240" w:lineRule="auto"/>
      </w:pPr>
    </w:p>
    <w:p w14:paraId="128B16E5">
      <w:pPr>
        <w:pStyle w:val="17"/>
        <w:keepNext w:val="0"/>
        <w:keepLines w:val="0"/>
        <w:widowControl/>
        <w:suppressLineNumbers w:val="0"/>
        <w:spacing w:before="0" w:beforeAutospacing="1" w:after="0" w:afterAutospacing="1"/>
        <w:ind w:left="0" w:right="0"/>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4.3. Công cụ dàn trang Portfolio — lấp đầy khoảng trống giữa học thuật và nghề nghiệp</w:t>
      </w:r>
    </w:p>
    <w:p w14:paraId="0530E04B">
      <w:pPr>
        <w:pStyle w:val="17"/>
        <w:keepNext w:val="0"/>
        <w:keepLines w:val="0"/>
        <w:widowControl/>
        <w:suppressLineNumbers w:val="0"/>
        <w:spacing w:before="0" w:beforeAutospacing="1" w:after="0" w:afterAutospacing="1"/>
        <w:ind w:left="0" w:right="0"/>
        <w:jc w:val="both"/>
        <w:rPr>
          <w:rFonts w:ascii="Times New Roman" w:hAnsi="Times New Roman" w:eastAsia="Times New Roman" w:cs="Times New Roman"/>
          <w:b w:val="0"/>
          <w:bCs w:val="0"/>
          <w:sz w:val="20"/>
          <w:szCs w:val="20"/>
        </w:rPr>
      </w:pPr>
      <w:r>
        <w:rPr>
          <w:rFonts w:ascii="Times New Roman" w:hAnsi="Times New Roman" w:eastAsia="Times New Roman" w:cs="Times New Roman"/>
          <w:b w:val="0"/>
          <w:bCs w:val="0"/>
          <w:sz w:val="20"/>
          <w:szCs w:val="20"/>
        </w:rPr>
        <w:t>Một trong những phát hiện quan trọng từ quá trình khảo sát là sinh viên không thiếu tác phẩm tốt — điều họ thiếu là công cụ trình bày những tác phẩm đó một cách chuyên nghiệp trong môi trường có kiểm soát học thuật. Behance giải quyết vế sau nhưng không có vế trước. Canvas có vế trước nhưng hoàn toàn bỏ qua vế sau. Công cụ Portfolio Builder trong UEF Design Gallery được thiết kế để xử lý cả hai cùng lúc: sinh viên tự dàn trang hồ sơ cá nhân theo bố cục họ chọn, trong một môi trường mà giảng viên vẫn có thể xem, đánh giá và xác nhận chất lượng học thuật.</w:t>
      </w:r>
    </w:p>
    <w:p w14:paraId="53E082D5">
      <w:pPr>
        <w:pStyle w:val="17"/>
        <w:keepNext w:val="0"/>
        <w:keepLines w:val="0"/>
        <w:widowControl/>
        <w:suppressLineNumbers w:val="0"/>
        <w:spacing w:before="0" w:beforeAutospacing="1" w:after="0" w:afterAutospacing="1"/>
        <w:ind w:left="0" w:right="0"/>
        <w:jc w:val="both"/>
        <w:rPr>
          <w:rFonts w:ascii="Times New Roman" w:hAnsi="Times New Roman" w:eastAsia="Times New Roman" w:cs="Times New Roman"/>
          <w:b w:val="0"/>
          <w:bCs w:val="0"/>
          <w:sz w:val="20"/>
          <w:szCs w:val="20"/>
        </w:rPr>
      </w:pPr>
      <w:r>
        <w:rPr>
          <w:rFonts w:ascii="Times New Roman" w:hAnsi="Times New Roman" w:eastAsia="Times New Roman" w:cs="Times New Roman"/>
          <w:b w:val="0"/>
          <w:bCs w:val="0"/>
          <w:sz w:val="20"/>
          <w:szCs w:val="20"/>
        </w:rPr>
        <w:t>Điểm thực tiễn của tính năng này không chỉ dừng lại ở thẩm mỹ. Khi sinh viên có thể xuất Portfolio thành một trang web mang tên miền nhà trường hoặc một file PDF đặt chuẩn để nộp hồ sơ tuyển dụng, khoảng cách giữa "bài tập môn học" và "tài sản nghề nghiệp" được thu hẹp lại đáng kể — không cần sinh viên phải tự làm lại từ đầu trên một nền tảng khác sau khi học xong.</w:t>
      </w:r>
    </w:p>
    <w:p w14:paraId="66E4F40A">
      <w:pPr>
        <w:spacing w:before="80" w:after="80" w:line="240" w:lineRule="auto"/>
        <w:jc w:val="left"/>
      </w:pPr>
      <w:r>
        <w:rPr>
          <w:rFonts w:ascii="Times New Roman" w:hAnsi="Times New Roman" w:eastAsia="Times New Roman" w:cs="Times New Roman"/>
          <w:b/>
          <w:bCs/>
          <w:sz w:val="20"/>
          <w:szCs w:val="20"/>
        </w:rPr>
        <w:t>4.4. Kết nối tuyển dụng: Tính xác thực và định vị thương hiệu</w:t>
      </w:r>
    </w:p>
    <w:p w14:paraId="3044B230">
      <w:pPr>
        <w:spacing w:after="0" w:line="240" w:lineRule="auto"/>
        <w:jc w:val="both"/>
      </w:pPr>
      <w:r>
        <w:rPr>
          <w:rFonts w:ascii="Times New Roman" w:hAnsi="Times New Roman" w:eastAsia="Times New Roman" w:cs="Times New Roman"/>
          <w:b w:val="0"/>
          <w:bCs w:val="0"/>
          <w:sz w:val="20"/>
          <w:szCs w:val="20"/>
        </w:rPr>
        <w:t>Nghiên cứu chỉ ra sự chênh lệch to lớn về uy tín thương hiệu giữa một liên kết cá nhân vô danh và một định danh thuộc về tổ chức. Hệ thống tự động cấp cho mỗi sinh viên một đường dẫn chuẩn mực: gallery.uef.edu.vn/portfolio/ho-va-ten. Khi sinh viên đặt đường dẫn này vào thư xin việc, nó đóng vai trò như một chứng chỉ năng lực kỹ thuật số, tuyên bố sự bảo chứng của tổ chức đào tạo đối với kỹ năng của người học. Điều này tương tự như cách UAL Showcase đã mang lại lợi thế vượt trội cho sinh viên Đại học Nghệ thuật London trên thị trường tuyển dụng khốc liệt tại Anh Quốc.</w:t>
      </w:r>
    </w:p>
    <w:p w14:paraId="3FEABBC6">
      <w:pPr>
        <w:spacing w:after="0" w:line="240" w:lineRule="auto"/>
        <w:jc w:val="both"/>
      </w:pPr>
      <w:r>
        <w:rPr>
          <w:rFonts w:ascii="Times New Roman" w:hAnsi="Times New Roman" w:eastAsia="Times New Roman" w:cs="Times New Roman"/>
          <w:b w:val="0"/>
          <w:bCs w:val="0"/>
          <w:sz w:val="20"/>
          <w:szCs w:val="20"/>
        </w:rPr>
        <w:t>Nút liên hệ được tích hợp sâu không chỉ ngăn chặn nạn thu thập dữ liệu rác mà còn thể hiện sự trân trọng và bảo vệ của nhà trường đối với tài nguyên sinh viên, khẳng định vị thế chuyên nghiệp của cơ sở đào tạo trước cộng đồng doanh nghiệp.</w:t>
      </w:r>
    </w:p>
    <w:p w14:paraId="4DAEF4D8">
      <w:pPr>
        <w:spacing w:line="240" w:lineRule="auto"/>
      </w:pPr>
    </w:p>
    <w:p w14:paraId="795C743F">
      <w:pPr>
        <w:spacing w:before="80" w:after="80" w:line="240" w:lineRule="auto"/>
        <w:jc w:val="left"/>
      </w:pPr>
      <w:r>
        <w:rPr>
          <w:rFonts w:ascii="Times New Roman" w:hAnsi="Times New Roman" w:eastAsia="Times New Roman" w:cs="Times New Roman"/>
          <w:b/>
          <w:bCs/>
          <w:sz w:val="20"/>
          <w:szCs w:val="20"/>
        </w:rPr>
        <w:t>4.5. Phân tích đối sánh toàn diện nền tảng</w:t>
      </w:r>
    </w:p>
    <w:p w14:paraId="235A201B">
      <w:pPr>
        <w:spacing w:after="0" w:line="240" w:lineRule="auto"/>
        <w:jc w:val="both"/>
      </w:pPr>
      <w:r>
        <w:rPr>
          <w:rFonts w:ascii="Times New Roman" w:hAnsi="Times New Roman" w:eastAsia="Times New Roman" w:cs="Times New Roman"/>
          <w:b w:val="0"/>
          <w:bCs w:val="0"/>
          <w:sz w:val="20"/>
          <w:szCs w:val="20"/>
        </w:rPr>
        <w:t>Bảng 1 trình bày một cách trực quan các ưu thế của nền tảng lai UEF Design Gallery so với các giải pháp hiện hữu.</w:t>
      </w:r>
    </w:p>
    <w:p w14:paraId="161FF463">
      <w:pPr>
        <w:spacing w:line="240" w:lineRule="auto"/>
      </w:pPr>
    </w:p>
    <w:p w14:paraId="4BCE6E3D">
      <w:pPr>
        <w:spacing w:before="80" w:after="80" w:line="240" w:lineRule="auto"/>
        <w:jc w:val="left"/>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Bảng 1. Phân tích đối sánh các nền tảng theo chuẩn giáo dục đại học và bảo mật không gian số</w:t>
      </w:r>
    </w:p>
    <w:p w14:paraId="61C745BD">
      <w:pPr>
        <w:spacing w:before="80" w:after="80" w:line="240" w:lineRule="auto"/>
        <w:jc w:val="left"/>
        <w:rPr>
          <w:rFonts w:ascii="Times New Roman" w:hAnsi="Times New Roman" w:eastAsia="Times New Roman" w:cs="Times New Roman"/>
          <w:b/>
          <w:bCs/>
          <w:sz w:val="20"/>
          <w:szCs w:val="20"/>
        </w:rPr>
      </w:pPr>
      <w:bookmarkStart w:id="0" w:name="_GoBack"/>
      <w:bookmarkEnd w:id="0"/>
    </w:p>
    <w:tbl>
      <w:tblPr>
        <w:tblStyle w:val="9"/>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12"/>
        <w:gridCol w:w="939"/>
        <w:gridCol w:w="1031"/>
        <w:gridCol w:w="1438"/>
      </w:tblGrid>
      <w:tr w14:paraId="15B7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shd w:val="clear" w:color="auto" w:fill="E6E6E6"/>
            <w:tcMar>
              <w:top w:w="80" w:type="dxa"/>
              <w:left w:w="120" w:type="dxa"/>
              <w:bottom w:w="80" w:type="dxa"/>
              <w:right w:w="120" w:type="dxa"/>
            </w:tcMar>
            <w:vAlign w:val="center"/>
          </w:tcPr>
          <w:p w14:paraId="2DD44595">
            <w:pPr>
              <w:jc w:val="center"/>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Tiêu chí Đánh giá</w:t>
            </w:r>
          </w:p>
        </w:tc>
        <w:tc>
          <w:tcPr>
            <w:tcW w:w="939" w:type="dxa"/>
            <w:tcBorders>
              <w:top w:val="single" w:color="000000" w:sz="6" w:space="0"/>
              <w:left w:val="single" w:color="000000" w:sz="6" w:space="0"/>
              <w:bottom w:val="single" w:color="000000" w:sz="6" w:space="0"/>
              <w:right w:val="single" w:color="000000" w:sz="6" w:space="0"/>
            </w:tcBorders>
            <w:shd w:val="clear" w:color="auto" w:fill="E6E6E6"/>
            <w:tcMar>
              <w:top w:w="80" w:type="dxa"/>
              <w:left w:w="120" w:type="dxa"/>
              <w:bottom w:w="80" w:type="dxa"/>
              <w:right w:w="120" w:type="dxa"/>
            </w:tcMar>
            <w:vAlign w:val="center"/>
          </w:tcPr>
          <w:p w14:paraId="7E384E01">
            <w:pPr>
              <w:jc w:val="center"/>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LMS (Moodle/Canvas)</w:t>
            </w:r>
          </w:p>
        </w:tc>
        <w:tc>
          <w:tcPr>
            <w:tcW w:w="1031" w:type="dxa"/>
            <w:tcBorders>
              <w:top w:val="single" w:color="000000" w:sz="6" w:space="0"/>
              <w:left w:val="single" w:color="000000" w:sz="6" w:space="0"/>
              <w:bottom w:val="single" w:color="000000" w:sz="6" w:space="0"/>
              <w:right w:val="single" w:color="000000" w:sz="6" w:space="0"/>
            </w:tcBorders>
            <w:shd w:val="clear" w:color="auto" w:fill="E6E6E6"/>
            <w:tcMar>
              <w:top w:w="80" w:type="dxa"/>
              <w:left w:w="120" w:type="dxa"/>
              <w:bottom w:w="80" w:type="dxa"/>
              <w:right w:w="120" w:type="dxa"/>
            </w:tcMar>
            <w:vAlign w:val="center"/>
          </w:tcPr>
          <w:p w14:paraId="71020698">
            <w:pPr>
              <w:jc w:val="center"/>
              <w:rPr>
                <w:rFonts w:hint="default" w:ascii="Times New Roman" w:hAnsi="Times New Roman" w:cs="Times New Roman"/>
                <w:b/>
                <w:bCs/>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Nền tảng Đại chúng (Behance/Dribbble)</w:t>
            </w:r>
          </w:p>
        </w:tc>
        <w:tc>
          <w:tcPr>
            <w:tcW w:w="1438" w:type="dxa"/>
            <w:tcBorders>
              <w:top w:val="single" w:color="000000" w:sz="6" w:space="0"/>
              <w:left w:val="single" w:color="000000" w:sz="6" w:space="0"/>
              <w:bottom w:val="single" w:color="000000" w:sz="6" w:space="0"/>
              <w:right w:val="single" w:color="000000" w:sz="6" w:space="0"/>
            </w:tcBorders>
            <w:shd w:val="clear" w:color="auto" w:fill="E6E6E6"/>
            <w:tcMar>
              <w:top w:w="80" w:type="dxa"/>
              <w:left w:w="120" w:type="dxa"/>
              <w:bottom w:w="80" w:type="dxa"/>
              <w:right w:w="120" w:type="dxa"/>
            </w:tcMar>
            <w:vAlign w:val="center"/>
          </w:tcPr>
          <w:p w14:paraId="79322E0A">
            <w:pPr>
              <w:jc w:val="center"/>
              <w:rPr>
                <w:rFonts w:hint="default" w:ascii="Times New Roman" w:hAnsi="Times New Roman" w:cs="Times New Roman"/>
                <w:b/>
                <w:bCs/>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UEF Design Gallery</w:t>
            </w:r>
          </w:p>
        </w:tc>
      </w:tr>
      <w:tr w14:paraId="196A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9BC8B9">
            <w:pPr>
              <w:jc w:val="left"/>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Mục đích cốt lõi</w:t>
            </w:r>
          </w:p>
        </w:tc>
        <w:tc>
          <w:tcPr>
            <w:tcW w:w="93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95B128">
            <w:pPr>
              <w:jc w:val="left"/>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Quản lý học tập, giao bài</w:t>
            </w:r>
          </w:p>
        </w:tc>
        <w:tc>
          <w:tcPr>
            <w:tcW w:w="1031"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F7333B">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Trưng bày tự do, kết nối cộng đồng</w:t>
            </w:r>
          </w:p>
        </w:tc>
        <w:tc>
          <w:tcPr>
            <w:tcW w:w="143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2602AC">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Trưng bày học thuật có đánh giá</w:t>
            </w:r>
          </w:p>
        </w:tc>
      </w:tr>
      <w:tr w14:paraId="5570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8E9D53">
            <w:pPr>
              <w:jc w:val="left"/>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Giao diện trực quan (UI)</w:t>
            </w:r>
          </w:p>
        </w:tc>
        <w:tc>
          <w:tcPr>
            <w:tcW w:w="93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81DCE6">
            <w:pPr>
              <w:jc w:val="left"/>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Rất thấp (thiên văn bản)</w:t>
            </w:r>
          </w:p>
        </w:tc>
        <w:tc>
          <w:tcPr>
            <w:tcW w:w="1031"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C32941">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Rất cao (tối ưu hình ảnh)</w:t>
            </w:r>
          </w:p>
        </w:tc>
        <w:tc>
          <w:tcPr>
            <w:tcW w:w="143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127511">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Rất cao (Masonry Layout)</w:t>
            </w:r>
          </w:p>
        </w:tc>
      </w:tr>
      <w:tr w14:paraId="2681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614249">
            <w:pPr>
              <w:jc w:val="left"/>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Hệ thống chấm điểm</w:t>
            </w:r>
          </w:p>
        </w:tc>
        <w:tc>
          <w:tcPr>
            <w:tcW w:w="93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C29841">
            <w:pPr>
              <w:jc w:val="left"/>
              <w:rPr>
                <w:rFonts w:hint="default" w:ascii="Times New Roman" w:hAnsi="Times New Roman" w:cs="Times New Roman"/>
                <w:color w:val="000000" w:themeColor="text1"/>
                <w:sz w:val="16"/>
                <w:szCs w:val="16"/>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Tích hợp sâu, bảo mật</w:t>
            </w:r>
          </w:p>
        </w:tc>
        <w:tc>
          <w:tcPr>
            <w:tcW w:w="1031"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161E1A">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Không hỗ trợ</w:t>
            </w:r>
          </w:p>
        </w:tc>
        <w:tc>
          <w:tcPr>
            <w:tcW w:w="143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875AEA8">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Tích hợp, có phản hồi kín</w:t>
            </w:r>
          </w:p>
        </w:tc>
      </w:tr>
      <w:tr w14:paraId="53F1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81F775E">
            <w:pPr>
              <w:jc w:val="left"/>
              <w:rPr>
                <w:rFonts w:hint="default" w:ascii="Times New Roman" w:hAnsi="Times New Roman" w:cs="Times New Roman"/>
                <w:b/>
                <w:bCs/>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Cấu trúc dữ liệu</w:t>
            </w:r>
          </w:p>
        </w:tc>
        <w:tc>
          <w:tcPr>
            <w:tcW w:w="93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35444B">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Đóng theo khóa học</w:t>
            </w:r>
          </w:p>
        </w:tc>
        <w:tc>
          <w:tcPr>
            <w:tcW w:w="1031"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736EB6">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Tự do, thiếu quy chuẩn</w:t>
            </w:r>
          </w:p>
        </w:tc>
        <w:tc>
          <w:tcPr>
            <w:tcW w:w="143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8B6C23">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Chuẩn hóa theo khung đào tạo</w:t>
            </w:r>
          </w:p>
        </w:tc>
      </w:tr>
      <w:tr w14:paraId="5D1A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3A365F4">
            <w:pPr>
              <w:jc w:val="left"/>
              <w:rPr>
                <w:rFonts w:hint="default" w:ascii="Times New Roman" w:hAnsi="Times New Roman" w:cs="Times New Roman"/>
                <w:b/>
                <w:bCs/>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Xác thực danh tính</w:t>
            </w:r>
          </w:p>
        </w:tc>
        <w:tc>
          <w:tcPr>
            <w:tcW w:w="93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7AEF22">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Qua định danh nhà trường</w:t>
            </w:r>
          </w:p>
        </w:tc>
        <w:tc>
          <w:tcPr>
            <w:tcW w:w="1031"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93A84FA">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Email tự do, không kiểm soát</w:t>
            </w:r>
          </w:p>
        </w:tc>
        <w:tc>
          <w:tcPr>
            <w:tcW w:w="143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6D6530">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SSO qua email nhà trường</w:t>
            </w:r>
          </w:p>
        </w:tc>
      </w:tr>
      <w:tr w14:paraId="7EF0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54DB42">
            <w:pPr>
              <w:jc w:val="left"/>
              <w:rPr>
                <w:rFonts w:hint="default" w:ascii="Times New Roman" w:hAnsi="Times New Roman" w:cs="Times New Roman"/>
                <w:b/>
                <w:bCs/>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Bảo mật sở hữu trí tuệ</w:t>
            </w:r>
          </w:p>
        </w:tc>
        <w:tc>
          <w:tcPr>
            <w:tcW w:w="93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38A5C02">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Cao (hệ thống đóng)</w:t>
            </w:r>
          </w:p>
        </w:tc>
        <w:tc>
          <w:tcPr>
            <w:tcW w:w="1031"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207B03">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Thấp (dữ liệu bên thứ ba)</w:t>
            </w:r>
          </w:p>
        </w:tc>
        <w:tc>
          <w:tcPr>
            <w:tcW w:w="143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3A2DD1">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Cao (dữ liệu nội bộ)</w:t>
            </w:r>
          </w:p>
        </w:tc>
      </w:tr>
      <w:tr w14:paraId="1C35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366700">
            <w:pPr>
              <w:jc w:val="left"/>
              <w:rPr>
                <w:rFonts w:hint="default" w:ascii="Times New Roman" w:hAnsi="Times New Roman" w:cs="Times New Roman"/>
                <w:b/>
                <w:bCs/>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Tiếp cận của doanh nghiệp</w:t>
            </w:r>
          </w:p>
        </w:tc>
        <w:tc>
          <w:tcPr>
            <w:tcW w:w="93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552092">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Không thể</w:t>
            </w:r>
          </w:p>
        </w:tc>
        <w:tc>
          <w:tcPr>
            <w:tcW w:w="1031"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8F17505">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Mở, cạnh tranh toàn cầu</w:t>
            </w:r>
          </w:p>
        </w:tc>
        <w:tc>
          <w:tcPr>
            <w:tcW w:w="143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247BC0">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Có chọn lọc, định vị thương hiệu</w:t>
            </w:r>
          </w:p>
        </w:tc>
      </w:tr>
      <w:tr w14:paraId="09D9D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934FA0">
            <w:pPr>
              <w:jc w:val="left"/>
              <w:rPr>
                <w:rFonts w:hint="default" w:ascii="Times New Roman" w:hAnsi="Times New Roman" w:cs="Times New Roman"/>
                <w:b/>
                <w:bCs/>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Hỗ trợ quá trình học tập</w:t>
            </w:r>
          </w:p>
        </w:tc>
        <w:tc>
          <w:tcPr>
            <w:tcW w:w="93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F5CA2A">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Cao (phản hồi giảng viên)</w:t>
            </w:r>
          </w:p>
        </w:tc>
        <w:tc>
          <w:tcPr>
            <w:tcW w:w="1031"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8E9AB9E">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color w:val="000000" w:themeColor="text1"/>
                <w:sz w:val="16"/>
                <w:szCs w:val="16"/>
                <w:rtl w:val="0"/>
                <w14:textFill>
                  <w14:solidFill>
                    <w14:schemeClr w14:val="tx1"/>
                  </w14:solidFill>
                </w14:textFill>
              </w:rPr>
              <w:t>Rất thấp (chỉ xã hội)</w:t>
            </w:r>
          </w:p>
        </w:tc>
        <w:tc>
          <w:tcPr>
            <w:tcW w:w="143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69644A">
            <w:pPr>
              <w:jc w:val="left"/>
              <w:rPr>
                <w:rFonts w:hint="default" w:ascii="Times New Roman" w:hAnsi="Times New Roman" w:cs="Times New Roman"/>
                <w:color w:val="000000" w:themeColor="text1"/>
                <w:sz w:val="16"/>
                <w:szCs w:val="16"/>
                <w:rtl w:val="0"/>
                <w14:textFill>
                  <w14:solidFill>
                    <w14:schemeClr w14:val="tx1"/>
                  </w14:solidFill>
                </w14:textFill>
              </w:rPr>
            </w:pPr>
            <w:r>
              <w:rPr>
                <w:rFonts w:hint="default" w:ascii="Times New Roman" w:hAnsi="Times New Roman" w:cs="Times New Roman"/>
                <w:b/>
                <w:bCs/>
                <w:color w:val="000000" w:themeColor="text1"/>
                <w:sz w:val="16"/>
                <w:szCs w:val="16"/>
                <w:rtl w:val="0"/>
                <w14:textFill>
                  <w14:solidFill>
                    <w14:schemeClr w14:val="tx1"/>
                  </w14:solidFill>
                </w14:textFill>
              </w:rPr>
              <w:t>Rất cao (kết hợp cả hai)</w:t>
            </w:r>
          </w:p>
        </w:tc>
      </w:tr>
    </w:tbl>
    <w:p w14:paraId="33DEBB9E">
      <w:pPr>
        <w:spacing w:line="240" w:lineRule="auto"/>
        <w:jc w:val="center"/>
        <w:rPr>
          <w:i/>
          <w:iCs/>
        </w:rPr>
      </w:pPr>
    </w:p>
    <w:p w14:paraId="4B93B223">
      <w:pPr>
        <w:spacing w:after="0" w:line="240" w:lineRule="auto"/>
        <w:jc w:val="center"/>
        <w:rPr>
          <w:i/>
          <w:iCs/>
        </w:rPr>
      </w:pPr>
      <w:r>
        <w:rPr>
          <w:rFonts w:ascii="Times New Roman" w:hAnsi="Times New Roman" w:eastAsia="Times New Roman" w:cs="Times New Roman"/>
          <w:b w:val="0"/>
          <w:bCs w:val="0"/>
          <w:i/>
          <w:iCs/>
          <w:sz w:val="20"/>
          <w:szCs w:val="20"/>
        </w:rPr>
        <w:t>(</w:t>
      </w:r>
      <w:r>
        <w:rPr>
          <w:rFonts w:hint="default" w:ascii="Times New Roman" w:hAnsi="Times New Roman" w:eastAsia="SimSun" w:cs="Times New Roman"/>
          <w:i/>
          <w:iCs/>
          <w:sz w:val="20"/>
          <w:szCs w:val="20"/>
        </w:rPr>
        <w:t>Nguồn: Đúc kết từ phân tích hệ thống và thiết kế kiến trúc của nhóm tác giả dựa trên dữ liệu khảo sát</w:t>
      </w:r>
      <w:r>
        <w:rPr>
          <w:rFonts w:hint="default" w:ascii="Times New Roman" w:hAnsi="Times New Roman" w:eastAsia="SimSun" w:cs="Times New Roman"/>
          <w:i/>
          <w:iCs/>
          <w:sz w:val="20"/>
          <w:szCs w:val="20"/>
          <w:lang w:val="en-US"/>
        </w:rPr>
        <w:t xml:space="preserve"> từ các tài liệu tham khảo</w:t>
      </w:r>
      <w:r>
        <w:rPr>
          <w:rFonts w:hint="default" w:ascii="Times New Roman" w:hAnsi="Times New Roman" w:eastAsia="SimSun" w:cs="Times New Roman"/>
          <w:i/>
          <w:iCs/>
          <w:sz w:val="20"/>
          <w:szCs w:val="20"/>
        </w:rPr>
        <w:t xml:space="preserve"> [3], [13], [14], [15], [17]</w:t>
      </w:r>
      <w:r>
        <w:rPr>
          <w:rFonts w:ascii="Times New Roman" w:hAnsi="Times New Roman" w:eastAsia="Times New Roman" w:cs="Times New Roman"/>
          <w:b w:val="0"/>
          <w:bCs w:val="0"/>
          <w:i/>
          <w:iCs/>
          <w:sz w:val="20"/>
          <w:szCs w:val="20"/>
        </w:rPr>
        <w:t>)</w:t>
      </w:r>
    </w:p>
    <w:p w14:paraId="2064EC94">
      <w:pPr>
        <w:spacing w:line="240" w:lineRule="auto"/>
      </w:pPr>
    </w:p>
    <w:p w14:paraId="5FF1463A">
      <w:pPr>
        <w:spacing w:before="80" w:after="80" w:line="240" w:lineRule="auto"/>
        <w:jc w:val="left"/>
      </w:pPr>
      <w:r>
        <w:rPr>
          <w:rFonts w:ascii="Times New Roman" w:hAnsi="Times New Roman" w:eastAsia="Times New Roman" w:cs="Times New Roman"/>
          <w:b/>
          <w:bCs/>
          <w:sz w:val="20"/>
          <w:szCs w:val="20"/>
        </w:rPr>
        <w:t>4.6. Điểm vượt trội so với các giải pháp tương đương quốc tế</w:t>
      </w:r>
    </w:p>
    <w:p w14:paraId="1CF889DD">
      <w:pPr>
        <w:spacing w:after="0" w:line="240" w:lineRule="auto"/>
        <w:jc w:val="both"/>
      </w:pPr>
      <w:r>
        <w:rPr>
          <w:rFonts w:ascii="Times New Roman" w:hAnsi="Times New Roman" w:eastAsia="Times New Roman" w:cs="Times New Roman"/>
          <w:b w:val="0"/>
          <w:bCs w:val="0"/>
          <w:sz w:val="20"/>
          <w:szCs w:val="20"/>
        </w:rPr>
        <w:t>Trên thế giới hiện có các nền tảng hồ sơ điện tử giáo dục nổi tiếng như Digication, Mahara hay Portflow.</w:t>
      </w:r>
      <w:r>
        <w:rPr>
          <w:rFonts w:ascii="Times New Roman" w:hAnsi="Times New Roman" w:eastAsia="Times New Roman" w:cs="Times New Roman"/>
          <w:sz w:val="16"/>
          <w:szCs w:val="16"/>
          <w:vertAlign w:val="superscript"/>
        </w:rPr>
        <w:t>[1</w:t>
      </w:r>
      <w:r>
        <w:rPr>
          <w:rFonts w:hint="default" w:ascii="Times New Roman" w:hAnsi="Times New Roman" w:eastAsia="Times New Roman" w:cs="Times New Roman"/>
          <w:sz w:val="16"/>
          <w:szCs w:val="16"/>
          <w:vertAlign w:val="superscript"/>
          <w:lang w:val="en-US"/>
        </w:rPr>
        <w:t>4</w:t>
      </w:r>
      <w:r>
        <w:rPr>
          <w:rFonts w:ascii="Times New Roman" w:hAnsi="Times New Roman" w:eastAsia="Times New Roman" w:cs="Times New Roman"/>
          <w:sz w:val="16"/>
          <w:szCs w:val="16"/>
          <w:vertAlign w:val="superscript"/>
        </w:rPr>
        <w:t>]</w:t>
      </w:r>
      <w:r>
        <w:rPr>
          <w:rFonts w:ascii="Times New Roman" w:hAnsi="Times New Roman" w:eastAsia="Times New Roman" w:cs="Times New Roman"/>
          <w:sz w:val="20"/>
          <w:szCs w:val="20"/>
        </w:rPr>
        <w:t xml:space="preserve"> Tuy nhiên, UEF Design Gallery chứng minh sự khác biệt cốt lõi ở bốn khía cạnh.</w:t>
      </w:r>
    </w:p>
    <w:p w14:paraId="523BF609">
      <w:pPr>
        <w:spacing w:after="0" w:line="240" w:lineRule="auto"/>
        <w:jc w:val="both"/>
      </w:pPr>
      <w:r>
        <w:rPr>
          <w:rFonts w:ascii="Times New Roman" w:hAnsi="Times New Roman" w:eastAsia="Times New Roman" w:cs="Times New Roman"/>
          <w:b w:val="0"/>
          <w:bCs w:val="0"/>
          <w:sz w:val="20"/>
          <w:szCs w:val="20"/>
        </w:rPr>
        <w:t>Thứ nhất, tính đặc thù ngành sâu sắc: trong khi các nền tảng quốc tế cố gắng phục vụ mọi ngành bằng giao diện blog chung chung, hệ thống này được thiết kế "đo ni đóng giày" cho ngành Thiết kế với không gian trưng bày màu sắc chuẩn xác, bố cục lưới tự động và tổ chức thẻ dựa trên phần mềm thiết kế chuyên dụng.</w:t>
      </w:r>
    </w:p>
    <w:p w14:paraId="7B7EB7A2">
      <w:pPr>
        <w:spacing w:after="0" w:line="240" w:lineRule="auto"/>
        <w:jc w:val="both"/>
      </w:pPr>
      <w:r>
        <w:rPr>
          <w:rFonts w:ascii="Times New Roman" w:hAnsi="Times New Roman" w:eastAsia="Times New Roman" w:cs="Times New Roman"/>
          <w:b w:val="0"/>
          <w:bCs w:val="0"/>
          <w:sz w:val="20"/>
          <w:szCs w:val="20"/>
        </w:rPr>
        <w:t>Thứ hai, tính định danh thể chế: UEF không đi thuê một góc nhỏ trên nền tảng của người khác — nhà trường sở hữu toàn vẹn không gian số, biến mọi tác phẩm đăng tải thành một mảnh ghép quảng bá cho chất lượng giáo dục của chính mình.</w:t>
      </w:r>
    </w:p>
    <w:p w14:paraId="6CA0F044">
      <w:pPr>
        <w:spacing w:after="0" w:line="240" w:lineRule="auto"/>
        <w:jc w:val="both"/>
      </w:pPr>
      <w:r>
        <w:rPr>
          <w:rFonts w:ascii="Times New Roman" w:hAnsi="Times New Roman" w:eastAsia="Times New Roman" w:cs="Times New Roman"/>
          <w:b w:val="0"/>
          <w:bCs w:val="0"/>
          <w:sz w:val="20"/>
          <w:szCs w:val="20"/>
        </w:rPr>
        <w:t>Thứ ba, tính mở về mặt công nghệ cho phép hệ thống dễ dàng kết nối thẳng vào phần mềm quản lý điểm đào tạo hiện hữu của trường, điều mà các hệ thống quốc tế trả phí đắt đỏ khó lòng thực hiện được do rào cản tương thích.</w:t>
      </w:r>
    </w:p>
    <w:p w14:paraId="704AE59F">
      <w:pPr>
        <w:spacing w:after="0" w:line="240" w:lineRule="auto"/>
        <w:jc w:val="both"/>
      </w:pPr>
      <w:r>
        <w:rPr>
          <w:rFonts w:ascii="Times New Roman" w:hAnsi="Times New Roman" w:eastAsia="Times New Roman" w:cs="Times New Roman"/>
          <w:sz w:val="20"/>
          <w:szCs w:val="20"/>
        </w:rPr>
        <w:t>Cuối cùng, tính tự chủ dữ liệu: khi nhà trường vận hành hạ tầng lưu trữ của riêng mình, họ giữ được quyền quyết định về chính sách dữ liệu — tác phẩm nào được công khai, điều kiện truy cập là gì, và sinh viên có những quyền gì sau khi tốt nghiệp. Đây là điều kiện tiên quyết để nhà trường có thể chủ động điều chỉnh chính sách bảo vệ tài sản sáng tạo khi công nghệ và khung pháp lý tiếp tục thay đổi, thay vì phụ thuộc vào điều khoản dịch vụ của các nền tảng thương mại nước ngoài.</w:t>
      </w:r>
    </w:p>
    <w:p w14:paraId="19F14843">
      <w:pPr>
        <w:spacing w:line="240" w:lineRule="auto"/>
      </w:pPr>
    </w:p>
    <w:p w14:paraId="2172A4C1">
      <w:pPr>
        <w:spacing w:before="80" w:after="80" w:line="240" w:lineRule="auto"/>
        <w:jc w:val="left"/>
      </w:pPr>
      <w:r>
        <w:rPr>
          <w:rFonts w:ascii="Times New Roman" w:hAnsi="Times New Roman" w:eastAsia="Times New Roman" w:cs="Times New Roman"/>
          <w:b/>
          <w:bCs/>
          <w:sz w:val="20"/>
          <w:szCs w:val="20"/>
        </w:rPr>
        <w:t>5. KẾT LUẬN VÀ KHUYẾN NGHỊ</w:t>
      </w:r>
    </w:p>
    <w:p w14:paraId="009C559B">
      <w:pPr>
        <w:spacing w:before="80" w:after="80" w:line="240" w:lineRule="auto"/>
        <w:jc w:val="left"/>
      </w:pPr>
      <w:r>
        <w:rPr>
          <w:rFonts w:ascii="Times New Roman" w:hAnsi="Times New Roman" w:eastAsia="Times New Roman" w:cs="Times New Roman"/>
          <w:b/>
          <w:bCs/>
          <w:sz w:val="20"/>
          <w:szCs w:val="20"/>
        </w:rPr>
        <w:t>5.1. Kết luận</w:t>
      </w:r>
    </w:p>
    <w:p w14:paraId="00130828">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Nghiên cứu cho thấy mô hình UEF Design Gallery — được xây dựng từ dữ liệu khảo sát sinh viên và trao đổi trực tiếp với giảng viên, doanh nghiệp — là một hướng đi khả thi để giải quyết đồng thời ba vấn đề mà các công cụ đơn lẻ hiện tại chưa xử lý được cùng lúc: đánh giá học thuật có chiều sâu, trình bày hồ sơ chuyên nghiệp theo đặc thù ngành Thiết kế, và kết nối với thị trường lao động thông qua định danh học thuật có xác thực.</w:t>
      </w:r>
    </w:p>
    <w:p w14:paraId="4DBD07A8">
      <w:pPr>
        <w:spacing w:after="0" w:line="240" w:lineRule="auto"/>
        <w:jc w:val="both"/>
        <w:rPr>
          <w:rFonts w:ascii="Times New Roman" w:hAnsi="Times New Roman" w:eastAsia="Times New Roman" w:cs="Times New Roman"/>
          <w:b w:val="0"/>
          <w:bCs w:val="0"/>
          <w:sz w:val="20"/>
          <w:szCs w:val="20"/>
        </w:rPr>
      </w:pPr>
      <w:r>
        <w:rPr>
          <w:rFonts w:ascii="Times New Roman" w:hAnsi="Times New Roman" w:eastAsia="Times New Roman" w:cs="Times New Roman"/>
          <w:b w:val="0"/>
          <w:bCs w:val="0"/>
          <w:sz w:val="20"/>
          <w:szCs w:val="20"/>
        </w:rPr>
        <w:t>Điểm thực chất nhất của mô hình không phải là công nghệ mà là thay đổi cách nhìn: mỗi bài tập từ năm nhất không phải là sản phẩm nộp rồi bỏ, mà là tư liệu tích lũy cho hồ sơ nghề nghiệp dài hạn. Khi nhà trường làm chủ nền tảng lưu trữ đó, họ cũng làm chủ được chất lượng đầu ra và danh tiếng đào tạo của mình.</w:t>
      </w:r>
    </w:p>
    <w:p w14:paraId="0DF56661">
      <w:pPr>
        <w:spacing w:after="0" w:line="240" w:lineRule="auto"/>
        <w:jc w:val="both"/>
        <w:rPr>
          <w:rFonts w:ascii="Times New Roman" w:hAnsi="Times New Roman" w:eastAsia="Times New Roman" w:cs="Times New Roman"/>
          <w:b w:val="0"/>
          <w:bCs w:val="0"/>
          <w:sz w:val="20"/>
          <w:szCs w:val="20"/>
        </w:rPr>
      </w:pPr>
      <w:r>
        <w:rPr>
          <w:rFonts w:ascii="Times New Roman" w:hAnsi="Times New Roman" w:eastAsia="Times New Roman" w:cs="Times New Roman"/>
          <w:b w:val="0"/>
          <w:bCs w:val="0"/>
          <w:sz w:val="20"/>
          <w:szCs w:val="20"/>
        </w:rPr>
        <w:t>Về tầm ảnh hưởng rộng hơn, đây là mô hình đáng để các trường đại học có đào tạo ngành sáng tạo tại Việt Nam tham khảo — không phải vì nó hoàn hảo, mà vì nó chứng minh rằng một trường quy mô vừa hoàn toàn có thể tự xây dựng hạ tầng số chủ động thay vì phụ thuộc nền tảng nước ngoài.</w:t>
      </w:r>
    </w:p>
    <w:p w14:paraId="154E29B3">
      <w:pPr>
        <w:spacing w:before="80" w:after="80" w:line="240" w:lineRule="auto"/>
        <w:jc w:val="left"/>
      </w:pPr>
      <w:r>
        <w:rPr>
          <w:rFonts w:ascii="Times New Roman" w:hAnsi="Times New Roman" w:eastAsia="Times New Roman" w:cs="Times New Roman"/>
          <w:b/>
          <w:bCs/>
          <w:sz w:val="20"/>
          <w:szCs w:val="20"/>
        </w:rPr>
        <w:t>5.2. Khuyến nghị và hướng phát triển tương lai</w:t>
      </w:r>
    </w:p>
    <w:p w14:paraId="29B90CDB">
      <w:pPr>
        <w:spacing w:after="0" w:line="240" w:lineRule="auto"/>
        <w:jc w:val="both"/>
      </w:pPr>
      <w:r>
        <w:rPr>
          <w:rFonts w:ascii="Times New Roman" w:hAnsi="Times New Roman" w:eastAsia="Times New Roman" w:cs="Times New Roman"/>
          <w:b w:val="0"/>
          <w:bCs w:val="0"/>
          <w:sz w:val="20"/>
          <w:szCs w:val="20"/>
        </w:rPr>
        <w:t>Từ những đúc kết hệ thống, nghiên cứu đưa ra những định hướng phát triển ở mức độ chiến lược nhằm tối đa hóa hiệu suất của nền tảng:</w:t>
      </w:r>
    </w:p>
    <w:p w14:paraId="178EAAD9">
      <w:pPr>
        <w:spacing w:after="0" w:line="240" w:lineRule="auto"/>
        <w:jc w:val="both"/>
      </w:pPr>
      <w:r>
        <w:rPr>
          <w:rFonts w:ascii="Times New Roman" w:hAnsi="Times New Roman" w:eastAsia="Times New Roman" w:cs="Times New Roman"/>
          <w:b w:val="0"/>
          <w:bCs w:val="0"/>
          <w:sz w:val="20"/>
          <w:szCs w:val="20"/>
        </w:rPr>
        <w:t>Thứ nhất, về công tác quản lý và đào tạo: nhà trường cần mạnh dạn ban hành quy chế chính thức hóa hồ sơ điện tử nội bộ, đưa nó trở thành tiêu chí đánh giá bắt buộc trong các đồ án chuyên ngành và điều kiện tiên quyết để xét chuẩn đầu ra tốt nghiệp. Sinh viên cần hoàn thành một hạn mức số lượng tác phẩm "đạt chuẩn công khai" để được công nhận năng lực thực tiễn.</w:t>
      </w:r>
    </w:p>
    <w:p w14:paraId="3706A912">
      <w:pPr>
        <w:spacing w:after="0" w:line="240" w:lineRule="auto"/>
        <w:jc w:val="both"/>
      </w:pPr>
      <w:r>
        <w:rPr>
          <w:rFonts w:ascii="Times New Roman" w:hAnsi="Times New Roman" w:eastAsia="Times New Roman" w:cs="Times New Roman"/>
          <w:sz w:val="20"/>
          <w:szCs w:val="20"/>
        </w:rPr>
        <w:t>Thứ hai, về quản lý dữ liệu và tài sản sáng tạo của sinh viên: nhà trường cần xây dựng chính sách dữ liệu rõ ràng song song với việc vận hành hệ thống — quy định cụ thể tác phẩm nào được lập chỉ mục công khai, tác phẩm nào chỉ lưu hành nội bộ, và sinh viên được quyền xóa hoặc hạn chế truy cập tác phẩm sau khi tốt nghiệp. Chính sách này không chỉ là vấn đề kỹ thuật mà còn là cam kết của nhà trường đối với người học — một yếu tố ảnh hưởng trực tiếp đến mức độ tin tưởng và sẵn sàng sử dụng nền tảng về lâu dài.</w:t>
      </w:r>
      <w:r>
        <w:rPr>
          <w:rFonts w:ascii="Times New Roman" w:hAnsi="Times New Roman" w:eastAsia="Times New Roman" w:cs="Times New Roman"/>
          <w:b w:val="0"/>
          <w:bCs w:val="0"/>
          <w:sz w:val="20"/>
          <w:szCs w:val="20"/>
        </w:rPr>
        <w:t>Thứ ba, về mở rộng kết nối doanh nghiệp: định hướng mở rộng mạnh mẽ phân hệ B2B thông qua việc cấp tài khoản chuyên biệt cho các tập đoàn và công ty đối tác. Học hỏi từ mạng lưới tuyển dụng thành công của UAL Showcase</w:t>
      </w:r>
      <w:r>
        <w:rPr>
          <w:rFonts w:hint="default" w:ascii="Times New Roman" w:hAnsi="Times New Roman" w:eastAsia="Times New Roman" w:cs="Times New Roman"/>
          <w:b w:val="0"/>
          <w:bCs w:val="0"/>
          <w:sz w:val="20"/>
          <w:szCs w:val="20"/>
          <w:vertAlign w:val="superscript"/>
          <w:lang w:val="en-US"/>
        </w:rPr>
        <w:t>[15]</w:t>
      </w:r>
      <w:r>
        <w:rPr>
          <w:rFonts w:ascii="Times New Roman" w:hAnsi="Times New Roman" w:eastAsia="Times New Roman" w:cs="Times New Roman"/>
          <w:b w:val="0"/>
          <w:bCs w:val="0"/>
          <w:sz w:val="20"/>
          <w:szCs w:val="20"/>
        </w:rPr>
        <w:t xml:space="preserve"> , doanh nghiệp có thể thiết lập bài thi thử thách, tổ chức phiên góp ý trực tuyến, và trực tiếp săn đón tài năng ngay trên nền tảng, biến hệ thống thành hội chợ việc làm trực tuyến hoạt động 24/7.</w:t>
      </w:r>
    </w:p>
    <w:p w14:paraId="3486A827">
      <w:pPr>
        <w:spacing w:after="0" w:line="240" w:lineRule="auto"/>
        <w:jc w:val="both"/>
      </w:pPr>
      <w:r>
        <w:rPr>
          <w:rFonts w:ascii="Times New Roman" w:hAnsi="Times New Roman" w:eastAsia="Times New Roman" w:cs="Times New Roman"/>
          <w:b w:val="0"/>
          <w:bCs w:val="0"/>
          <w:sz w:val="20"/>
          <w:szCs w:val="20"/>
        </w:rPr>
        <w:t>Thứ tư, về tích hợp trí tuệ nhân tạo hữu ích cho sư phạm: hướng phát triển kế tiếp là nhúng trực tiếp các mô hình ngôn ngữ lớn vào không gian đánh giá của giảng viên. Trí tuệ nhân tạo sẽ quét văn bản mô tả đồ án và đối chiếu với tiêu chí đánh giá của môn học để gợi ý khung phản hồi sơ bộ cho giảng viên — không thay thế phán xét chuyên môn, nhưng giảm bớt thời gian bắt đầu từ trang trắng, đặc biệt hữu ích trong bối cảnh tỷ lệ sinh viên trên giảng viên tại nhiều khoa thiết kế đang tăng lên đáng kể. Ở đây, AI hoạt động như một đối tác giáo dục thay vì một cỗ máy sao chép ý tưởng.</w:t>
      </w:r>
    </w:p>
    <w:p w14:paraId="2A7A3E5C">
      <w:pPr>
        <w:spacing w:after="0" w:line="240" w:lineRule="auto"/>
        <w:jc w:val="both"/>
      </w:pPr>
      <w:r>
        <w:rPr>
          <w:rFonts w:ascii="Times New Roman" w:hAnsi="Times New Roman" w:eastAsia="Times New Roman" w:cs="Times New Roman"/>
          <w:b w:val="0"/>
          <w:bCs w:val="0"/>
          <w:sz w:val="20"/>
          <w:szCs w:val="20"/>
        </w:rPr>
        <w:t>Và cuối cùng, về định hướng nghiên cứu tiếp theo: cần triển khai thực nghiệm toàn diện trên diện rộng trong ít nhất hai học kỳ liên tiếp. Dữ liệu đo lường theo thời gian thực về tần suất đăng nhập, thời gian tiết kiệm trong khâu chấm điểm, và tỷ lệ chuyển đổi trực tiếp từ lượt xem hồ sơ thành cơ hội trúng tuyển sẽ là minh chứng đanh thép nhất để không ngừng hoàn thiện và thương mại hóa nền tảng. Việc biến tri thức thành các sản phẩm công nghệ giáo dục tự chủ chính là bước tiến tất yếu của giáo dục đại học số tại Việt Nam.</w:t>
      </w:r>
    </w:p>
    <w:p w14:paraId="5301A4E7">
      <w:pPr>
        <w:spacing w:before="160" w:after="80" w:line="240" w:lineRule="auto"/>
        <w:jc w:val="left"/>
      </w:pPr>
      <w:r>
        <w:rPr>
          <w:rFonts w:ascii="Times New Roman" w:hAnsi="Times New Roman" w:eastAsia="Times New Roman" w:cs="Times New Roman"/>
          <w:b/>
          <w:bCs/>
          <w:sz w:val="24"/>
          <w:szCs w:val="24"/>
        </w:rPr>
        <w:t>Tài Liệu Tham Khảo</w:t>
      </w:r>
    </w:p>
    <w:p w14:paraId="764A6D81">
      <w:pPr>
        <w:pStyle w:val="17"/>
        <w:keepNext w:val="0"/>
        <w:keepLines w:val="0"/>
        <w:widowControl/>
        <w:suppressLineNumbers w:val="0"/>
        <w:jc w:val="both"/>
        <w:rPr>
          <w:sz w:val="20"/>
          <w:szCs w:val="20"/>
        </w:rPr>
      </w:pPr>
      <w:r>
        <w:rPr>
          <w:sz w:val="20"/>
          <w:szCs w:val="20"/>
        </w:rPr>
        <w:t xml:space="preserve">[1] Lorenzo, G. and Ittelson, J. (2005), 'An Overview of E-Portfolios', EDUCAUSE Learning Initiative, ELI Paper 3001, tr. 1–27, truy cập từ </w:t>
      </w:r>
      <w:r>
        <w:rPr>
          <w:sz w:val="20"/>
          <w:szCs w:val="20"/>
        </w:rPr>
        <w:fldChar w:fldCharType="begin"/>
      </w:r>
      <w:r>
        <w:rPr>
          <w:sz w:val="20"/>
          <w:szCs w:val="20"/>
        </w:rPr>
        <w:instrText xml:space="preserve"> HYPERLINK "https://www.educause.edu/ir/library/pdf/ELI3001.pdf" \t "_blank" </w:instrText>
      </w:r>
      <w:r>
        <w:rPr>
          <w:sz w:val="20"/>
          <w:szCs w:val="20"/>
        </w:rPr>
        <w:fldChar w:fldCharType="separate"/>
      </w:r>
      <w:r>
        <w:rPr>
          <w:rStyle w:val="16"/>
          <w:sz w:val="20"/>
          <w:szCs w:val="20"/>
        </w:rPr>
        <w:t>https://www.educause.edu/ir/library/pdf/ELI3001.pdf</w:t>
      </w:r>
      <w:r>
        <w:rPr>
          <w:sz w:val="20"/>
          <w:szCs w:val="20"/>
        </w:rPr>
        <w:fldChar w:fldCharType="end"/>
      </w:r>
    </w:p>
    <w:p w14:paraId="2C0A5EBC">
      <w:pPr>
        <w:pStyle w:val="17"/>
        <w:keepNext w:val="0"/>
        <w:keepLines w:val="0"/>
        <w:widowControl/>
        <w:suppressLineNumbers w:val="0"/>
        <w:jc w:val="both"/>
        <w:rPr>
          <w:sz w:val="20"/>
          <w:szCs w:val="20"/>
        </w:rPr>
      </w:pPr>
      <w:r>
        <w:rPr>
          <w:sz w:val="20"/>
          <w:szCs w:val="20"/>
        </w:rPr>
        <w:t>[2] Cambridge, D. (2010), E-Portfolios for Lifelong Learning and Assessment, Jossey-Bass / John Wiley &amp; Sons, San Francisco, CA.</w:t>
      </w:r>
    </w:p>
    <w:p w14:paraId="0EAD6B50">
      <w:pPr>
        <w:pStyle w:val="17"/>
        <w:keepNext w:val="0"/>
        <w:keepLines w:val="0"/>
        <w:widowControl/>
        <w:suppressLineNumbers w:val="0"/>
        <w:jc w:val="both"/>
        <w:rPr>
          <w:sz w:val="20"/>
          <w:szCs w:val="20"/>
        </w:rPr>
      </w:pPr>
      <w:r>
        <w:rPr>
          <w:sz w:val="20"/>
          <w:szCs w:val="20"/>
        </w:rPr>
        <w:t>[3] Wuetherick, B. and Dickinson, J. (2015), 'Why ePortfolios? Student Perceptions of ePortfolio Use in Continuing Education Learning Environments', International Journal of ePortfolio, số 5, tập 1, tr. 39–53.</w:t>
      </w:r>
    </w:p>
    <w:p w14:paraId="2D0D9089">
      <w:pPr>
        <w:pStyle w:val="17"/>
        <w:keepNext w:val="0"/>
        <w:keepLines w:val="0"/>
        <w:widowControl/>
        <w:suppressLineNumbers w:val="0"/>
        <w:jc w:val="both"/>
        <w:rPr>
          <w:sz w:val="20"/>
          <w:szCs w:val="20"/>
        </w:rPr>
      </w:pPr>
      <w:r>
        <w:rPr>
          <w:sz w:val="20"/>
          <w:szCs w:val="20"/>
        </w:rPr>
        <w:t>[4] Eynon, B. and Gambino, L. M. (2017), High-Impact ePortfolio Practice: A Catalyst for Student, Faculty, and Institutional Learning, Stylus Publishing, LLC, Sterling, VA.</w:t>
      </w:r>
    </w:p>
    <w:p w14:paraId="4595BA66">
      <w:pPr>
        <w:pStyle w:val="17"/>
        <w:keepNext w:val="0"/>
        <w:keepLines w:val="0"/>
        <w:widowControl/>
        <w:suppressLineNumbers w:val="0"/>
        <w:jc w:val="both"/>
        <w:rPr>
          <w:sz w:val="20"/>
          <w:szCs w:val="20"/>
        </w:rPr>
      </w:pPr>
      <w:r>
        <w:rPr>
          <w:sz w:val="20"/>
          <w:szCs w:val="20"/>
        </w:rPr>
        <w:t>[5] Yang, M., Wang, T. and Lim, C. P. (2023), 'E-portfolios as Digital Assessment Tools in Higher Education', trong Spector, J. M., Lockee, B. B. and Childress, M. D. (eds), Learning, Design, and Technology, Springer, Cham, doi: 10.1007/978-3-319-17461-7_83.</w:t>
      </w:r>
    </w:p>
    <w:p w14:paraId="532D33E1">
      <w:pPr>
        <w:pStyle w:val="17"/>
        <w:keepNext w:val="0"/>
        <w:keepLines w:val="0"/>
        <w:widowControl/>
        <w:suppressLineNumbers w:val="0"/>
        <w:jc w:val="both"/>
        <w:rPr>
          <w:sz w:val="20"/>
          <w:szCs w:val="20"/>
        </w:rPr>
      </w:pPr>
      <w:r>
        <w:rPr>
          <w:sz w:val="20"/>
          <w:szCs w:val="20"/>
        </w:rPr>
        <w:t>[6] Pospíšilová, L. and Rohlíková, L. (2023), 'Reforming higher education with ePortfolio implementation, enhanced by learning analytics', Computers in Human Behavior, số 138, tr. 107449, doi: 10.1016/j.chb.2022.107449.</w:t>
      </w:r>
    </w:p>
    <w:p w14:paraId="1A0D315D">
      <w:pPr>
        <w:pStyle w:val="17"/>
        <w:keepNext w:val="0"/>
        <w:keepLines w:val="0"/>
        <w:widowControl/>
        <w:suppressLineNumbers w:val="0"/>
        <w:jc w:val="both"/>
        <w:rPr>
          <w:sz w:val="20"/>
          <w:szCs w:val="20"/>
        </w:rPr>
      </w:pPr>
      <w:r>
        <w:rPr>
          <w:sz w:val="20"/>
          <w:szCs w:val="20"/>
        </w:rPr>
        <w:t xml:space="preserve">[7] Ring, G. L., Waugaman, C. and Brackett, B. (2017), 'The Value of Career ePortfolios on Job Applicant Performance: Using Data to Determine Effectiveness', International Journal of ePortfolio, số 7, tập 2, tr. 225–236, truy cập từ </w:t>
      </w:r>
      <w:r>
        <w:rPr>
          <w:sz w:val="20"/>
          <w:szCs w:val="20"/>
        </w:rPr>
        <w:fldChar w:fldCharType="begin"/>
      </w:r>
      <w:r>
        <w:rPr>
          <w:sz w:val="20"/>
          <w:szCs w:val="20"/>
        </w:rPr>
        <w:instrText xml:space="preserve"> HYPERLINK "https://www.google.com/search?q=http://theijep.com/pdf/IJEP259.pdf" \t "_blank" </w:instrText>
      </w:r>
      <w:r>
        <w:rPr>
          <w:sz w:val="20"/>
          <w:szCs w:val="20"/>
        </w:rPr>
        <w:fldChar w:fldCharType="separate"/>
      </w:r>
      <w:r>
        <w:rPr>
          <w:rStyle w:val="16"/>
          <w:sz w:val="20"/>
          <w:szCs w:val="20"/>
        </w:rPr>
        <w:t>http://theijep.com/pdf/IJEP259.pdf</w:t>
      </w:r>
      <w:r>
        <w:rPr>
          <w:sz w:val="20"/>
          <w:szCs w:val="20"/>
        </w:rPr>
        <w:fldChar w:fldCharType="end"/>
      </w:r>
      <w:r>
        <w:rPr>
          <w:sz w:val="20"/>
          <w:szCs w:val="20"/>
        </w:rPr>
        <w:t>.</w:t>
      </w:r>
    </w:p>
    <w:p w14:paraId="68DAF042">
      <w:pPr>
        <w:pStyle w:val="17"/>
        <w:keepNext w:val="0"/>
        <w:keepLines w:val="0"/>
        <w:widowControl/>
        <w:suppressLineNumbers w:val="0"/>
        <w:jc w:val="both"/>
        <w:rPr>
          <w:sz w:val="20"/>
          <w:szCs w:val="20"/>
        </w:rPr>
      </w:pPr>
      <w:r>
        <w:rPr>
          <w:sz w:val="20"/>
          <w:szCs w:val="20"/>
        </w:rPr>
        <w:t>[8] Riyanti, M. T., Erwin, T. N. and Suriani, S. H. (2017), 'Implementing Project Based Learning Approach to Graphic Design Course', American Journal of Educational Research, số 5, tập 5, tr. 559–563, doi: 10.12691/education-5-5-13.</w:t>
      </w:r>
    </w:p>
    <w:p w14:paraId="5FC989C4">
      <w:pPr>
        <w:pStyle w:val="17"/>
        <w:keepNext w:val="0"/>
        <w:keepLines w:val="0"/>
        <w:widowControl/>
        <w:suppressLineNumbers w:val="0"/>
        <w:jc w:val="both"/>
        <w:rPr>
          <w:sz w:val="20"/>
          <w:szCs w:val="20"/>
        </w:rPr>
      </w:pPr>
      <w:r>
        <w:rPr>
          <w:sz w:val="20"/>
          <w:szCs w:val="20"/>
        </w:rPr>
        <w:t xml:space="preserve">[9] Diep, N. T. N. (2023), 'The Differences in the Portfolios of Graphic and Digital Design Students in Greenwich, Vietnam', Proceedings of the International Conference on Research in Education (ICRECONF) 2023, Amsterdam, Netherlands, tr. 1–11, truy cập từ </w:t>
      </w:r>
      <w:r>
        <w:rPr>
          <w:sz w:val="20"/>
          <w:szCs w:val="20"/>
        </w:rPr>
        <w:fldChar w:fldCharType="begin"/>
      </w:r>
      <w:r>
        <w:rPr>
          <w:sz w:val="20"/>
          <w:szCs w:val="20"/>
        </w:rPr>
        <w:instrText xml:space="preserve"> HYPERLINK "https://www.google.com/search?q=https://www.researchgate.net/publication/383481860" \t "_blank" </w:instrText>
      </w:r>
      <w:r>
        <w:rPr>
          <w:sz w:val="20"/>
          <w:szCs w:val="20"/>
        </w:rPr>
        <w:fldChar w:fldCharType="separate"/>
      </w:r>
      <w:r>
        <w:rPr>
          <w:rStyle w:val="16"/>
          <w:sz w:val="20"/>
          <w:szCs w:val="20"/>
        </w:rPr>
        <w:t>https://www.researchgate.net/publication/383481860</w:t>
      </w:r>
      <w:r>
        <w:rPr>
          <w:sz w:val="20"/>
          <w:szCs w:val="20"/>
        </w:rPr>
        <w:fldChar w:fldCharType="end"/>
      </w:r>
      <w:r>
        <w:rPr>
          <w:sz w:val="20"/>
          <w:szCs w:val="20"/>
        </w:rPr>
        <w:t>.</w:t>
      </w:r>
    </w:p>
    <w:p w14:paraId="46BC1784">
      <w:pPr>
        <w:pStyle w:val="17"/>
        <w:keepNext w:val="0"/>
        <w:keepLines w:val="0"/>
        <w:widowControl/>
        <w:suppressLineNumbers w:val="0"/>
        <w:jc w:val="both"/>
        <w:rPr>
          <w:sz w:val="20"/>
          <w:szCs w:val="20"/>
        </w:rPr>
      </w:pPr>
      <w:r>
        <w:rPr>
          <w:sz w:val="20"/>
          <w:szCs w:val="20"/>
        </w:rPr>
        <w:t>[10] Next Move Strategy Consulting (2022), Graphic Design Market Size in Vietnam in 2020 and 2021, with Forecasts to 2030, Statista (truy cập có phí), truy cập tháng 3 năm 2026, từ</w:t>
      </w:r>
    </w:p>
    <w:p w14:paraId="3E63A1AE">
      <w:pPr>
        <w:pStyle w:val="17"/>
        <w:keepNext w:val="0"/>
        <w:keepLines w:val="0"/>
        <w:widowControl/>
        <w:suppressLineNumbers w:val="0"/>
        <w:jc w:val="both"/>
        <w:rPr>
          <w:sz w:val="20"/>
          <w:szCs w:val="20"/>
        </w:rPr>
      </w:pPr>
      <w:r>
        <w:rPr>
          <w:sz w:val="20"/>
          <w:szCs w:val="20"/>
        </w:rPr>
        <w:t xml:space="preserve"> </w:t>
      </w:r>
      <w:r>
        <w:rPr>
          <w:sz w:val="20"/>
          <w:szCs w:val="20"/>
        </w:rPr>
        <w:fldChar w:fldCharType="begin"/>
      </w:r>
      <w:r>
        <w:rPr>
          <w:sz w:val="20"/>
          <w:szCs w:val="20"/>
        </w:rPr>
        <w:instrText xml:space="preserve"> HYPERLINK "https://www.statista.com/statistics/1295572/vietnam-graphic-design-market-size/" \t "_blank" </w:instrText>
      </w:r>
      <w:r>
        <w:rPr>
          <w:sz w:val="20"/>
          <w:szCs w:val="20"/>
        </w:rPr>
        <w:fldChar w:fldCharType="separate"/>
      </w:r>
      <w:r>
        <w:rPr>
          <w:rStyle w:val="16"/>
          <w:sz w:val="20"/>
          <w:szCs w:val="20"/>
        </w:rPr>
        <w:t>https://www.statista.com/statistics/1295572/vietnam-graphic-design-market-size/</w:t>
      </w:r>
      <w:r>
        <w:rPr>
          <w:sz w:val="20"/>
          <w:szCs w:val="20"/>
        </w:rPr>
        <w:fldChar w:fldCharType="end"/>
      </w:r>
      <w:r>
        <w:rPr>
          <w:sz w:val="20"/>
          <w:szCs w:val="20"/>
        </w:rPr>
        <w:t>.</w:t>
      </w:r>
    </w:p>
    <w:p w14:paraId="6F94DCA2">
      <w:pPr>
        <w:pStyle w:val="17"/>
        <w:keepNext w:val="0"/>
        <w:keepLines w:val="0"/>
        <w:widowControl/>
        <w:suppressLineNumbers w:val="0"/>
        <w:jc w:val="both"/>
        <w:rPr>
          <w:sz w:val="20"/>
          <w:szCs w:val="20"/>
        </w:rPr>
      </w:pPr>
      <w:r>
        <w:rPr>
          <w:sz w:val="20"/>
          <w:szCs w:val="20"/>
        </w:rPr>
        <w:t>[11] Nguyen, H. L., Dang, B., Hong, Y. and Nguyen, A. (2025), 'Digital transformation in Vietnamese higher education: an epistemic network analysis of policy documents', Journal of International Cooperation in Education, số 27, tập 2, tr. 138–156, doi: 10.1108/JICE-03-2024-0010.</w:t>
      </w:r>
    </w:p>
    <w:p w14:paraId="48F1DDAA">
      <w:pPr>
        <w:pStyle w:val="17"/>
        <w:keepNext w:val="0"/>
        <w:keepLines w:val="0"/>
        <w:widowControl/>
        <w:suppressLineNumbers w:val="0"/>
        <w:jc w:val="both"/>
        <w:rPr>
          <w:sz w:val="20"/>
          <w:szCs w:val="20"/>
        </w:rPr>
      </w:pPr>
      <w:r>
        <w:rPr>
          <w:sz w:val="20"/>
          <w:szCs w:val="20"/>
        </w:rPr>
        <w:t>[12] Raccoon Gang (2025), 'Canvas LMS Pros and Cons: Features, Limitations, and Use Cases', truy cập tháng 5 năm 2026, từ</w:t>
      </w:r>
    </w:p>
    <w:p w14:paraId="382B951C">
      <w:pPr>
        <w:pStyle w:val="17"/>
        <w:keepNext w:val="0"/>
        <w:keepLines w:val="0"/>
        <w:widowControl/>
        <w:suppressLineNumbers w:val="0"/>
        <w:jc w:val="both"/>
        <w:rPr>
          <w:sz w:val="20"/>
          <w:szCs w:val="20"/>
        </w:rPr>
      </w:pPr>
      <w:r>
        <w:rPr>
          <w:sz w:val="20"/>
          <w:szCs w:val="20"/>
        </w:rPr>
        <w:t xml:space="preserve"> </w:t>
      </w:r>
      <w:r>
        <w:rPr>
          <w:sz w:val="20"/>
          <w:szCs w:val="20"/>
        </w:rPr>
        <w:fldChar w:fldCharType="begin"/>
      </w:r>
      <w:r>
        <w:rPr>
          <w:sz w:val="20"/>
          <w:szCs w:val="20"/>
        </w:rPr>
        <w:instrText xml:space="preserve"> HYPERLINK "https://raccoongang.com/blog/canvas-lms-pros-and-cons/" \t "_blank" </w:instrText>
      </w:r>
      <w:r>
        <w:rPr>
          <w:sz w:val="20"/>
          <w:szCs w:val="20"/>
        </w:rPr>
        <w:fldChar w:fldCharType="separate"/>
      </w:r>
      <w:r>
        <w:rPr>
          <w:rStyle w:val="16"/>
          <w:sz w:val="20"/>
          <w:szCs w:val="20"/>
        </w:rPr>
        <w:t>https://raccoongang.com/blog/canvas-lms-pros-and-cons/</w:t>
      </w:r>
      <w:r>
        <w:rPr>
          <w:sz w:val="20"/>
          <w:szCs w:val="20"/>
        </w:rPr>
        <w:fldChar w:fldCharType="end"/>
      </w:r>
      <w:r>
        <w:rPr>
          <w:sz w:val="20"/>
          <w:szCs w:val="20"/>
        </w:rPr>
        <w:t>.</w:t>
      </w:r>
    </w:p>
    <w:p w14:paraId="5CFC5CB2">
      <w:pPr>
        <w:pStyle w:val="17"/>
        <w:keepNext w:val="0"/>
        <w:keepLines w:val="0"/>
        <w:widowControl/>
        <w:suppressLineNumbers w:val="0"/>
        <w:jc w:val="both"/>
        <w:rPr>
          <w:sz w:val="20"/>
          <w:szCs w:val="20"/>
        </w:rPr>
      </w:pPr>
      <w:r>
        <w:rPr>
          <w:sz w:val="20"/>
          <w:szCs w:val="20"/>
        </w:rPr>
        <w:t xml:space="preserve">[13] Ménard, J. (2024), 'The E-Portfolio Value for Students and Educators', ListEdTech, truy cập tháng 1 năm 2024, từ </w:t>
      </w:r>
      <w:r>
        <w:rPr>
          <w:sz w:val="20"/>
          <w:szCs w:val="20"/>
        </w:rPr>
        <w:fldChar w:fldCharType="begin"/>
      </w:r>
      <w:r>
        <w:rPr>
          <w:sz w:val="20"/>
          <w:szCs w:val="20"/>
        </w:rPr>
        <w:instrText xml:space="preserve"> HYPERLINK "https://listedtech.com/blog/e-portfolio-for-students-and-educators/" \t "_blank" </w:instrText>
      </w:r>
      <w:r>
        <w:rPr>
          <w:sz w:val="20"/>
          <w:szCs w:val="20"/>
        </w:rPr>
        <w:fldChar w:fldCharType="separate"/>
      </w:r>
      <w:r>
        <w:rPr>
          <w:rStyle w:val="16"/>
          <w:sz w:val="20"/>
          <w:szCs w:val="20"/>
        </w:rPr>
        <w:t>https://listedtech.com/blog/e-portfolio-for-students-and-educators/</w:t>
      </w:r>
      <w:r>
        <w:rPr>
          <w:sz w:val="20"/>
          <w:szCs w:val="20"/>
        </w:rPr>
        <w:fldChar w:fldCharType="end"/>
      </w:r>
      <w:r>
        <w:rPr>
          <w:sz w:val="20"/>
          <w:szCs w:val="20"/>
        </w:rPr>
        <w:t>.</w:t>
      </w:r>
    </w:p>
    <w:p w14:paraId="6784DB1C">
      <w:pPr>
        <w:pStyle w:val="17"/>
        <w:keepNext w:val="0"/>
        <w:keepLines w:val="0"/>
        <w:widowControl/>
        <w:suppressLineNumbers w:val="0"/>
        <w:jc w:val="both"/>
        <w:rPr>
          <w:sz w:val="20"/>
          <w:szCs w:val="20"/>
        </w:rPr>
      </w:pPr>
      <w:r>
        <w:rPr>
          <w:sz w:val="20"/>
          <w:szCs w:val="20"/>
        </w:rPr>
        <w:t>[14] Drieam (2025), 'Portflow: The Student-Owned Learning &amp; Assessment Portfolio', truy cập tháng 5 năm 2026, từ</w:t>
      </w:r>
    </w:p>
    <w:p w14:paraId="25E54BDC">
      <w:pPr>
        <w:pStyle w:val="17"/>
        <w:keepNext w:val="0"/>
        <w:keepLines w:val="0"/>
        <w:widowControl/>
        <w:suppressLineNumbers w:val="0"/>
        <w:jc w:val="both"/>
        <w:rPr>
          <w:sz w:val="20"/>
          <w:szCs w:val="20"/>
        </w:rPr>
      </w:pPr>
      <w:r>
        <w:rPr>
          <w:sz w:val="20"/>
          <w:szCs w:val="20"/>
        </w:rPr>
        <w:t xml:space="preserve"> </w:t>
      </w:r>
      <w:r>
        <w:rPr>
          <w:sz w:val="20"/>
          <w:szCs w:val="20"/>
        </w:rPr>
        <w:fldChar w:fldCharType="begin"/>
      </w:r>
      <w:r>
        <w:rPr>
          <w:sz w:val="20"/>
          <w:szCs w:val="20"/>
        </w:rPr>
        <w:instrText xml:space="preserve"> HYPERLINK "https://drieam.com/en/solutions/portflow/" \t "_blank" </w:instrText>
      </w:r>
      <w:r>
        <w:rPr>
          <w:sz w:val="20"/>
          <w:szCs w:val="20"/>
        </w:rPr>
        <w:fldChar w:fldCharType="separate"/>
      </w:r>
      <w:r>
        <w:rPr>
          <w:rStyle w:val="16"/>
          <w:sz w:val="20"/>
          <w:szCs w:val="20"/>
        </w:rPr>
        <w:t>https://drieam.com/en/solutions/portflow/</w:t>
      </w:r>
      <w:r>
        <w:rPr>
          <w:sz w:val="20"/>
          <w:szCs w:val="20"/>
        </w:rPr>
        <w:fldChar w:fldCharType="end"/>
      </w:r>
      <w:r>
        <w:rPr>
          <w:sz w:val="20"/>
          <w:szCs w:val="20"/>
        </w:rPr>
        <w:t>.</w:t>
      </w:r>
    </w:p>
    <w:p w14:paraId="23406F70">
      <w:pPr>
        <w:pStyle w:val="17"/>
        <w:keepNext w:val="0"/>
        <w:keepLines w:val="0"/>
        <w:widowControl/>
        <w:suppressLineNumbers w:val="0"/>
        <w:jc w:val="both"/>
        <w:rPr>
          <w:sz w:val="20"/>
          <w:szCs w:val="20"/>
        </w:rPr>
      </w:pPr>
      <w:r>
        <w:rPr>
          <w:sz w:val="20"/>
          <w:szCs w:val="20"/>
        </w:rPr>
        <w:t xml:space="preserve">[15] University of the Arts London (2024), 'Portfolio Showcase — About', UAL: Portfolio, truy cập tháng 5 năm 2026, từ </w:t>
      </w:r>
      <w:r>
        <w:rPr>
          <w:sz w:val="20"/>
          <w:szCs w:val="20"/>
        </w:rPr>
        <w:fldChar w:fldCharType="begin"/>
      </w:r>
      <w:r>
        <w:rPr>
          <w:sz w:val="20"/>
          <w:szCs w:val="20"/>
        </w:rPr>
        <w:instrText xml:space="preserve"> HYPERLINK "https://portfolio.arts.ac.uk/about/" \t "_blank" </w:instrText>
      </w:r>
      <w:r>
        <w:rPr>
          <w:sz w:val="20"/>
          <w:szCs w:val="20"/>
        </w:rPr>
        <w:fldChar w:fldCharType="separate"/>
      </w:r>
      <w:r>
        <w:rPr>
          <w:rStyle w:val="16"/>
          <w:sz w:val="20"/>
          <w:szCs w:val="20"/>
        </w:rPr>
        <w:t>https://portfolio.arts.ac.uk/about/</w:t>
      </w:r>
      <w:r>
        <w:rPr>
          <w:sz w:val="20"/>
          <w:szCs w:val="20"/>
        </w:rPr>
        <w:fldChar w:fldCharType="end"/>
      </w:r>
      <w:r>
        <w:rPr>
          <w:sz w:val="20"/>
          <w:szCs w:val="20"/>
        </w:rPr>
        <w:t>.</w:t>
      </w:r>
    </w:p>
    <w:p w14:paraId="3DBE77AC">
      <w:pPr>
        <w:pStyle w:val="17"/>
        <w:keepNext w:val="0"/>
        <w:keepLines w:val="0"/>
        <w:widowControl/>
        <w:suppressLineNumbers w:val="0"/>
        <w:jc w:val="both"/>
        <w:rPr>
          <w:sz w:val="20"/>
          <w:szCs w:val="20"/>
        </w:rPr>
      </w:pPr>
      <w:r>
        <w:rPr>
          <w:sz w:val="20"/>
          <w:szCs w:val="20"/>
        </w:rPr>
        <w:t xml:space="preserve">[16] Weatherbed, J. (2022), 'ArtStation artists are flooding the site with "No AI Art" posts', The Verge, ngày 14 tháng 12 năm 2022, truy cập từ </w:t>
      </w:r>
      <w:r>
        <w:rPr>
          <w:sz w:val="20"/>
          <w:szCs w:val="20"/>
        </w:rPr>
        <w:fldChar w:fldCharType="begin"/>
      </w:r>
      <w:r>
        <w:rPr>
          <w:sz w:val="20"/>
          <w:szCs w:val="20"/>
        </w:rPr>
        <w:instrText xml:space="preserve"> HYPERLINK "https://www.google.com/search?q=https://www.theverge.com/2022/12/14/23509942/artstation-ai-art-protest" \t "_blank" </w:instrText>
      </w:r>
      <w:r>
        <w:rPr>
          <w:sz w:val="20"/>
          <w:szCs w:val="20"/>
        </w:rPr>
        <w:fldChar w:fldCharType="separate"/>
      </w:r>
      <w:r>
        <w:rPr>
          <w:rStyle w:val="16"/>
          <w:sz w:val="20"/>
          <w:szCs w:val="20"/>
        </w:rPr>
        <w:t>https://www.theverge.com/2022/12/14/23509942/artstation-ai-art-protest</w:t>
      </w:r>
      <w:r>
        <w:rPr>
          <w:sz w:val="20"/>
          <w:szCs w:val="20"/>
        </w:rPr>
        <w:fldChar w:fldCharType="end"/>
      </w:r>
      <w:r>
        <w:rPr>
          <w:sz w:val="20"/>
          <w:szCs w:val="20"/>
        </w:rPr>
        <w:t>.</w:t>
      </w:r>
    </w:p>
    <w:p w14:paraId="3C4AC301">
      <w:pPr>
        <w:pStyle w:val="17"/>
        <w:keepNext w:val="0"/>
        <w:keepLines w:val="0"/>
        <w:widowControl/>
        <w:suppressLineNumbers w:val="0"/>
        <w:jc w:val="both"/>
        <w:rPr>
          <w:sz w:val="20"/>
          <w:szCs w:val="20"/>
        </w:rPr>
      </w:pPr>
      <w:r>
        <w:rPr>
          <w:sz w:val="20"/>
          <w:szCs w:val="20"/>
        </w:rPr>
        <w:t>[17] Bộ Giáo dục và Đào tạo (2016), Thông tư 04/2016/TT-BGDĐT về tiêu chuẩn đánh giá chất lượng chương trình đào tạo đại học, Hà Nội, Việt Nam.</w:t>
      </w:r>
    </w:p>
    <w:p w14:paraId="2DF605BF">
      <w:pPr>
        <w:pStyle w:val="17"/>
        <w:keepNext w:val="0"/>
        <w:keepLines w:val="0"/>
        <w:widowControl/>
        <w:suppressLineNumbers w:val="0"/>
        <w:jc w:val="both"/>
        <w:rPr>
          <w:sz w:val="20"/>
          <w:szCs w:val="20"/>
        </w:rPr>
      </w:pPr>
      <w:r>
        <w:rPr>
          <w:sz w:val="20"/>
          <w:szCs w:val="20"/>
        </w:rPr>
        <w:t>[18] AUN-QA (2020), Guide to AUN-QA Assessment at Programme Level Version 4.0, ASEAN University Network, Bangkok, Thailand.</w:t>
      </w:r>
    </w:p>
    <w:p w14:paraId="37CCF525">
      <w:pPr>
        <w:pStyle w:val="17"/>
        <w:keepNext w:val="0"/>
        <w:keepLines w:val="0"/>
        <w:widowControl/>
        <w:suppressLineNumbers w:val="0"/>
        <w:jc w:val="both"/>
        <w:rPr>
          <w:sz w:val="20"/>
          <w:szCs w:val="20"/>
        </w:rPr>
      </w:pPr>
      <w:r>
        <w:rPr>
          <w:sz w:val="20"/>
          <w:szCs w:val="20"/>
        </w:rPr>
        <w:t xml:space="preserve">[19] RMIT University Vietnam (2024), 'Stream(Line) Digital Media Studio Showcase &amp; Brilliant Brushwork Exhibition', Faculty of Design, RMIT Vietnam, Ho Chi Minh City, truy cập từ </w:t>
      </w:r>
      <w:r>
        <w:rPr>
          <w:sz w:val="20"/>
          <w:szCs w:val="20"/>
        </w:rPr>
        <w:fldChar w:fldCharType="begin"/>
      </w:r>
      <w:r>
        <w:rPr>
          <w:sz w:val="20"/>
          <w:szCs w:val="20"/>
        </w:rPr>
        <w:instrText xml:space="preserve"> HYPERLINK "https://www.google.com/search?q=https://www.rmit.edu.vn/" \t "_blank" </w:instrText>
      </w:r>
      <w:r>
        <w:rPr>
          <w:sz w:val="20"/>
          <w:szCs w:val="20"/>
        </w:rPr>
        <w:fldChar w:fldCharType="separate"/>
      </w:r>
      <w:r>
        <w:rPr>
          <w:rStyle w:val="16"/>
          <w:sz w:val="20"/>
          <w:szCs w:val="20"/>
        </w:rPr>
        <w:t>https://www.rmit.edu.vn/</w:t>
      </w:r>
      <w:r>
        <w:rPr>
          <w:sz w:val="20"/>
          <w:szCs w:val="20"/>
        </w:rPr>
        <w:fldChar w:fldCharType="end"/>
      </w:r>
      <w:r>
        <w:rPr>
          <w:sz w:val="20"/>
          <w:szCs w:val="20"/>
        </w:rPr>
        <w:t>.</w:t>
      </w:r>
    </w:p>
    <w:p w14:paraId="6245CF03">
      <w:pPr>
        <w:pStyle w:val="17"/>
        <w:keepNext w:val="0"/>
        <w:keepLines w:val="0"/>
        <w:widowControl/>
        <w:suppressLineNumbers w:val="0"/>
        <w:jc w:val="both"/>
        <w:rPr>
          <w:sz w:val="20"/>
          <w:szCs w:val="20"/>
        </w:rPr>
      </w:pPr>
      <w:r>
        <w:rPr>
          <w:sz w:val="20"/>
          <w:szCs w:val="20"/>
        </w:rPr>
        <w:t>[20] Tài liệu phân tích kỹ thuật và mã nguồn nguyên mẫu UEF Design Gallery, Khoa Thiết kế Đồ họa, Trường Đại học Kinh tế - Tài chính Thành phố Hồ Chí Minh (UEF), 2024.</w:t>
      </w:r>
    </w:p>
    <w:p w14:paraId="3072CA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240" w:lineRule="auto"/>
        <w:ind w:left="360" w:right="0" w:hanging="360"/>
        <w:jc w:val="both"/>
      </w:pPr>
    </w:p>
    <w:sectPr>
      <w:pgSz w:w="11906" w:h="16838"/>
      <w:pgMar w:top="1418" w:right="1134" w:bottom="1418" w:left="1701" w:header="0" w:footer="0" w:gutter="0"/>
      <w:cols w:space="284"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EC5A91"/>
    <w:rsid w:val="01C32272"/>
    <w:rsid w:val="02370032"/>
    <w:rsid w:val="0314022E"/>
    <w:rsid w:val="03713232"/>
    <w:rsid w:val="037D28C8"/>
    <w:rsid w:val="04C34EA2"/>
    <w:rsid w:val="07B85847"/>
    <w:rsid w:val="09FB6626"/>
    <w:rsid w:val="0DB8738F"/>
    <w:rsid w:val="0EC32D44"/>
    <w:rsid w:val="0F5E1F18"/>
    <w:rsid w:val="12F9372E"/>
    <w:rsid w:val="132754F7"/>
    <w:rsid w:val="132F6244"/>
    <w:rsid w:val="14EA1CE0"/>
    <w:rsid w:val="152B1B8A"/>
    <w:rsid w:val="155D0F51"/>
    <w:rsid w:val="163137AC"/>
    <w:rsid w:val="16DC2BBF"/>
    <w:rsid w:val="17213AFE"/>
    <w:rsid w:val="179B667E"/>
    <w:rsid w:val="19D730A0"/>
    <w:rsid w:val="1A4A782D"/>
    <w:rsid w:val="1AD73FC3"/>
    <w:rsid w:val="1B435847"/>
    <w:rsid w:val="1B574D8E"/>
    <w:rsid w:val="1B576951"/>
    <w:rsid w:val="1B710915"/>
    <w:rsid w:val="1C053387"/>
    <w:rsid w:val="1C656C23"/>
    <w:rsid w:val="1C9E1D17"/>
    <w:rsid w:val="1DA03128"/>
    <w:rsid w:val="1DE55E1B"/>
    <w:rsid w:val="1F3F1938"/>
    <w:rsid w:val="201C111D"/>
    <w:rsid w:val="22594CE3"/>
    <w:rsid w:val="234B1B33"/>
    <w:rsid w:val="24F43BA8"/>
    <w:rsid w:val="25413866"/>
    <w:rsid w:val="25E97623"/>
    <w:rsid w:val="26CA0466"/>
    <w:rsid w:val="280B6733"/>
    <w:rsid w:val="28913E9A"/>
    <w:rsid w:val="28F01CED"/>
    <w:rsid w:val="29703508"/>
    <w:rsid w:val="2B621378"/>
    <w:rsid w:val="2C8C5D24"/>
    <w:rsid w:val="2CFD047D"/>
    <w:rsid w:val="2DB72D7F"/>
    <w:rsid w:val="30606577"/>
    <w:rsid w:val="307604A6"/>
    <w:rsid w:val="33196863"/>
    <w:rsid w:val="34771914"/>
    <w:rsid w:val="34DE074D"/>
    <w:rsid w:val="36690254"/>
    <w:rsid w:val="36EB5521"/>
    <w:rsid w:val="38DA7CA8"/>
    <w:rsid w:val="3BB86B6A"/>
    <w:rsid w:val="3FEC231F"/>
    <w:rsid w:val="40EE6062"/>
    <w:rsid w:val="414B422F"/>
    <w:rsid w:val="42CC47D3"/>
    <w:rsid w:val="45177768"/>
    <w:rsid w:val="46885EB7"/>
    <w:rsid w:val="4906381B"/>
    <w:rsid w:val="4AAA565E"/>
    <w:rsid w:val="4BF316AA"/>
    <w:rsid w:val="4D7C592E"/>
    <w:rsid w:val="4E581E19"/>
    <w:rsid w:val="4EE06132"/>
    <w:rsid w:val="4F776199"/>
    <w:rsid w:val="4FC0367D"/>
    <w:rsid w:val="4FEE5732"/>
    <w:rsid w:val="502E37F7"/>
    <w:rsid w:val="53A31046"/>
    <w:rsid w:val="53E62ACC"/>
    <w:rsid w:val="55B4321C"/>
    <w:rsid w:val="564D31A3"/>
    <w:rsid w:val="58595275"/>
    <w:rsid w:val="5967213C"/>
    <w:rsid w:val="5BB62C85"/>
    <w:rsid w:val="5BBB03D9"/>
    <w:rsid w:val="5C6309F1"/>
    <w:rsid w:val="5CB06720"/>
    <w:rsid w:val="5FA345E7"/>
    <w:rsid w:val="60502A41"/>
    <w:rsid w:val="60C263D6"/>
    <w:rsid w:val="61C348F6"/>
    <w:rsid w:val="65C13C73"/>
    <w:rsid w:val="66A944BA"/>
    <w:rsid w:val="66F039D9"/>
    <w:rsid w:val="671343AC"/>
    <w:rsid w:val="67CC374B"/>
    <w:rsid w:val="686255BE"/>
    <w:rsid w:val="69AF3970"/>
    <w:rsid w:val="6A964B03"/>
    <w:rsid w:val="6B1E2C4D"/>
    <w:rsid w:val="6D9100BA"/>
    <w:rsid w:val="6F6A1F57"/>
    <w:rsid w:val="70977146"/>
    <w:rsid w:val="72601F31"/>
    <w:rsid w:val="731946F2"/>
    <w:rsid w:val="73EA7BC1"/>
    <w:rsid w:val="74FA1B17"/>
    <w:rsid w:val="76B20212"/>
    <w:rsid w:val="77F11957"/>
    <w:rsid w:val="77FF66EE"/>
    <w:rsid w:val="7A4F1436"/>
    <w:rsid w:val="7AB77B60"/>
    <w:rsid w:val="7AFE15D9"/>
    <w:rsid w:val="7C4272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pPr>
      <w:spacing w:after="0" w:line="240" w:lineRule="auto"/>
    </w:pPr>
    <w:rPr>
      <w:rFonts w:asciiTheme="minorHAnsi" w:hAnsiTheme="minorHAnsi" w:eastAsiaTheme="minorEastAsia" w:cstheme="minorBidi"/>
      <w:sz w:val="20"/>
      <w:szCs w:val="20"/>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Theme="minorHAnsi" w:hAnsiTheme="minorHAnsi" w:eastAsiaTheme="minorEastAsia" w:cstheme="minorBidi"/>
      <w:sz w:val="20"/>
      <w:szCs w:val="20"/>
    </w:rPr>
  </w:style>
  <w:style w:type="character" w:styleId="15">
    <w:name w:val="HTML Code"/>
    <w:basedOn w:val="8"/>
    <w:qFormat/>
    <w:uiPriority w:val="0"/>
    <w:rPr>
      <w:rFonts w:ascii="Courier New" w:hAnsi="Courier New" w:cs="Courier New"/>
      <w:sz w:val="20"/>
      <w:szCs w:val="20"/>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Theme="minorHAnsi" w:hAnsiTheme="minorHAnsi" w:eastAsiaTheme="minorEastAsia" w:cstheme="minorBidi"/>
      <w:sz w:val="56"/>
      <w:szCs w:val="56"/>
    </w:rPr>
  </w:style>
  <w:style w:type="paragraph" w:styleId="20">
    <w:name w:val="List Paragraph"/>
    <w:qFormat/>
    <w:uiPriority w:val="0"/>
    <w:rPr>
      <w:rFonts w:asciiTheme="minorHAnsi" w:hAnsiTheme="minorHAnsi" w:eastAsiaTheme="minorEastAsia" w:cstheme="minorBidi"/>
      <w:sz w:val="21"/>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 w:type="table" w:customStyle="1" w:styleId="23">
    <w:name w:val="_Style 10"/>
    <w:basedOn w:val="24"/>
    <w:qFormat/>
    <w:uiPriority w:val="0"/>
    <w:tblPr>
      <w:tblCellMar>
        <w:top w:w="0" w:type="dxa"/>
        <w:left w:w="115" w:type="dxa"/>
        <w:bottom w:w="0" w:type="dxa"/>
        <w:right w:w="115" w:type="dxa"/>
      </w:tblCellMar>
    </w:tblPr>
  </w:style>
  <w:style w:type="table" w:customStyle="1" w:styleId="2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2026-06-08T08:13:00Z</dcterms:created>
  <dc:creator>Un-named</dc:creator>
  <cp:lastModifiedBy>Thảo Dương Thị Thanh</cp:lastModifiedBy>
  <dcterms:modified xsi:type="dcterms:W3CDTF">2026-06-14T14:23:51Z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DF43483E890144A28A2B0A09C9DE47B3_12</vt:lpwstr>
  </property>
</Properties>
</file>