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CCD" w:rsidRDefault="000941F3" w:rsidP="000941F3">
      <w:pPr>
        <w:jc w:val="center"/>
        <w:rPr>
          <w:b/>
          <w:sz w:val="28"/>
        </w:rPr>
      </w:pPr>
      <w:r>
        <w:rPr>
          <w:b/>
          <w:sz w:val="28"/>
        </w:rPr>
        <w:t>PEER ANALYSIS</w:t>
      </w:r>
    </w:p>
    <w:p w:rsidR="000941F3" w:rsidRDefault="000941F3" w:rsidP="000941F3">
      <w:pPr>
        <w:jc w:val="center"/>
        <w:rPr>
          <w:b/>
          <w:sz w:val="28"/>
        </w:rPr>
      </w:pPr>
    </w:p>
    <w:p w:rsidR="000941F3" w:rsidRDefault="000941F3" w:rsidP="000941F3">
      <w:pPr>
        <w:rPr>
          <w:sz w:val="24"/>
        </w:rPr>
      </w:pPr>
      <w:r>
        <w:rPr>
          <w:sz w:val="24"/>
        </w:rPr>
        <w:t>In this section, we try to analyze and compare to the industry, French Media Companies. By conducting this analysis, we used 3 multiples : EV/EBITDA, EV/EBIT and P/E.</w:t>
      </w:r>
    </w:p>
    <w:p w:rsidR="000941F3" w:rsidRDefault="000941F3" w:rsidP="000941F3">
      <w:pPr>
        <w:rPr>
          <w:sz w:val="24"/>
        </w:rPr>
      </w:pPr>
      <w:r>
        <w:rPr>
          <w:sz w:val="24"/>
        </w:rPr>
        <w:t>We will also use the 52 Low/high price of the stock Metropole Television SA as an additional range for our Valuation summary. Firstly, let's analyse our EV/EBITDA.</w:t>
      </w:r>
    </w:p>
    <w:p w:rsidR="000941F3" w:rsidRDefault="000941F3" w:rsidP="000941F3">
      <w:pPr>
        <w:rPr>
          <w:sz w:val="24"/>
        </w:rPr>
      </w:pPr>
      <w:r>
        <w:rPr>
          <w:sz w:val="24"/>
        </w:rPr>
        <w:t>Metropole Television SA has a value of 4,63812732696533, which represents a premium to compas mean of 3,0183409407023E-03. We consider Metropole Television SA Fairly Valued for EV/EBITDA. The EV/EBIT of is equal to 6,030517578125, which is Slightly Overvalued compared to the mean (6,57265663146973) with a premium of -8,24840066570612E-02.</w:t>
      </w:r>
    </w:p>
    <w:p w:rsidR="000941F3" w:rsidRDefault="000941F3" w:rsidP="000941F3">
      <w:pPr>
        <w:rPr>
          <w:sz w:val="24"/>
        </w:rPr>
      </w:pPr>
      <w:r>
        <w:rPr>
          <w:sz w:val="24"/>
        </w:rPr>
        <w:t>Lastly, the P/E ratio for Metropole Television SA has a value of 7,99223729419758, representing a premium of 0,154070238699448, Metropole Television SA is Overvalued.</w:t>
      </w:r>
    </w:p>
    <w:p w:rsidR="000941F3" w:rsidRDefault="000941F3" w:rsidP="000941F3">
      <w:pPr>
        <w:rPr>
          <w:sz w:val="24"/>
        </w:rPr>
      </w:pPr>
      <w:r>
        <w:rPr>
          <w:sz w:val="24"/>
        </w:rPr>
        <w:t>Then we defined our low and high multiples for each method that we implemented. Here are our Assumptions :</w:t>
      </w:r>
    </w:p>
    <w:p w:rsidR="000941F3" w:rsidRDefault="000941F3" w:rsidP="000941F3">
      <w:pPr>
        <w:rPr>
          <w:sz w:val="24"/>
        </w:rPr>
      </w:pPr>
      <w:r>
        <w:rPr>
          <w:sz w:val="24"/>
        </w:rPr>
        <w:t xml:space="preserve"> - EV/EBITDA : Low multiple : 1,5     /  High multiple : 1,25</w:t>
      </w:r>
    </w:p>
    <w:p w:rsidR="000941F3" w:rsidRDefault="000941F3" w:rsidP="000941F3">
      <w:pPr>
        <w:rPr>
          <w:sz w:val="24"/>
        </w:rPr>
      </w:pPr>
      <w:r>
        <w:rPr>
          <w:sz w:val="24"/>
        </w:rPr>
        <w:t xml:space="preserve"> - EV/EBITDA : Low multiple : 1,25     /  High multiple : 2</w:t>
      </w:r>
    </w:p>
    <w:p w:rsidR="000941F3" w:rsidRDefault="000941F3" w:rsidP="000941F3">
      <w:pPr>
        <w:rPr>
          <w:sz w:val="24"/>
        </w:rPr>
      </w:pPr>
      <w:r>
        <w:rPr>
          <w:sz w:val="24"/>
        </w:rPr>
        <w:t xml:space="preserve"> - EV/EBITDA : Low multiple : 1,25     /  High multiple : 3,75</w:t>
      </w:r>
    </w:p>
    <w:p w:rsidR="000941F3" w:rsidRDefault="000941F3" w:rsidP="000941F3">
      <w:pPr>
        <w:rPr>
          <w:sz w:val="24"/>
        </w:rPr>
      </w:pPr>
    </w:p>
    <w:p w:rsidR="000941F3" w:rsidRDefault="000941F3" w:rsidP="000941F3">
      <w:pPr>
        <w:rPr>
          <w:sz w:val="24"/>
        </w:rPr>
      </w:pPr>
      <w:r>
        <w:rPr>
          <w:sz w:val="24"/>
        </w:rPr>
        <w:t>After having established our assumptions, we calculated the price of according to each multiple selected above. Here are the results:</w:t>
      </w:r>
    </w:p>
    <w:p w:rsidR="000941F3" w:rsidRDefault="000941F3" w:rsidP="000941F3">
      <w:pPr>
        <w:rPr>
          <w:sz w:val="24"/>
        </w:rPr>
      </w:pPr>
    </w:p>
    <w:p w:rsidR="000941F3" w:rsidRDefault="000941F3" w:rsidP="000941F3">
      <w:pPr>
        <w:rPr>
          <w:sz w:val="24"/>
        </w:rPr>
      </w:pPr>
      <w:r>
        <w:rPr>
          <w:sz w:val="24"/>
        </w:rPr>
        <w:t>Recolting the results for each comparables will be very important to extract a mean of the low and high prices of Metropole Television SA, which corresponds to a price of 18,2045118754035. In order to define a range around this mean, we use again criteria to know at what percentage of deviation we want to define our range.</w:t>
      </w:r>
    </w:p>
    <w:p w:rsidR="000941F3" w:rsidRDefault="000941F3" w:rsidP="000941F3">
      <w:pPr>
        <w:rPr>
          <w:sz w:val="24"/>
        </w:rPr>
      </w:pPr>
      <w:r>
        <w:rPr>
          <w:sz w:val="24"/>
        </w:rPr>
        <w:t>We have selected as a downward deviation a percentage of 0,9 and for an upward deviation a percentage of 1,05. Thus, our low range price is 16,3840606878631, and our high range price is 19,1147374691737.</w:t>
      </w:r>
    </w:p>
    <w:p w:rsidR="000941F3" w:rsidRDefault="000941F3" w:rsidP="000941F3">
      <w:pPr>
        <w:rPr>
          <w:sz w:val="24"/>
        </w:rPr>
      </w:pPr>
      <w:r>
        <w:rPr>
          <w:sz w:val="24"/>
        </w:rPr>
        <w:t>Please find below the Valuation summary - Equity Value per share (EUR) for Metropole Television SA</w:t>
      </w:r>
    </w:p>
    <w:p w:rsidR="000941F3" w:rsidRDefault="000941F3" w:rsidP="000941F3">
      <w:pPr>
        <w:rPr>
          <w:sz w:val="24"/>
        </w:rPr>
      </w:pPr>
      <w:r>
        <w:rPr>
          <w:sz w:val="24"/>
        </w:rPr>
        <w:lastRenderedPageBreak/>
        <w:t>Through this graph we can see each low range and high range of our comparison methods. We can also identify the price range from 16,3840606878631 to 19,1147374691737. The current price for is 17,79. This analysis allows us to indicate according to the intrinsic study done before whether we should buy at a price presented in this range and thus at valuation multiples positively or negatively impacted as a consequence.</w:t>
      </w:r>
    </w:p>
    <w:p w:rsidR="000941F3" w:rsidRDefault="000941F3" w:rsidP="000941F3">
      <w:pPr>
        <w:rPr>
          <w:sz w:val="24"/>
        </w:rPr>
      </w:pPr>
      <w:r>
        <w:rPr>
          <w:sz w:val="24"/>
        </w:rPr>
        <w:t xml:space="preserve"> Finally, we can say that TF1 can easily consider an acquisition of M6 given the valuation and the fact that it is mainly fair valued. Nevertheless, it remains a big capital to deploy to acquire the company but can allow a strong growth and an increase of its margins because TF1 will remain competitive through M6's profits.</w:t>
      </w:r>
    </w:p>
    <w:tbl>
      <w:tblPr>
        <w:tblW w:w="7120" w:type="dxa"/>
        <w:tblCellMar>
          <w:left w:w="0" w:type="dxa"/>
          <w:right w:w="0" w:type="dxa"/>
        </w:tblCellMar>
        <w:tblLook w:val="04A0" w:firstRow="1" w:lastRow="0" w:firstColumn="1" w:lastColumn="0" w:noHBand="0" w:noVBand="1"/>
      </w:tblPr>
      <w:tblGrid>
        <w:gridCol w:w="3200"/>
        <w:gridCol w:w="1220"/>
        <w:gridCol w:w="1000"/>
        <w:gridCol w:w="1700"/>
      </w:tblGrid>
      <w:tr w:rsidR="000941F3" w:rsidTr="000941F3">
        <w:trPr>
          <w:trHeight w:val="288"/>
        </w:trPr>
        <w:tc>
          <w:tcPr>
            <w:tcW w:w="3200" w:type="dxa"/>
            <w:tcBorders>
              <w:top w:val="single" w:sz="4" w:space="0" w:color="auto"/>
              <w:left w:val="single" w:sz="4" w:space="0" w:color="auto"/>
              <w:bottom w:val="nil"/>
              <w:right w:val="nil"/>
            </w:tcBorders>
            <w:shd w:val="clear" w:color="auto" w:fill="auto"/>
            <w:noWrap/>
            <w:vAlign w:val="bottom"/>
            <w:hideMark/>
          </w:tcPr>
          <w:p w:rsidR="000941F3" w:rsidRDefault="000941F3">
            <w:pPr>
              <w:jc w:val="center"/>
              <w:rPr>
                <w:rFonts w:ascii="Calibri" w:hAnsi="Calibri" w:cs="Calibri"/>
                <w:b/>
                <w:bCs/>
                <w:color w:val="000000"/>
              </w:rPr>
            </w:pPr>
            <w:r>
              <w:rPr>
                <w:rFonts w:ascii="Calibri" w:hAnsi="Calibri" w:cs="Calibri"/>
                <w:b/>
                <w:bCs/>
                <w:color w:val="000000"/>
              </w:rPr>
              <w:t>If Price</w:t>
            </w:r>
          </w:p>
        </w:tc>
        <w:tc>
          <w:tcPr>
            <w:tcW w:w="1220" w:type="dxa"/>
            <w:tcBorders>
              <w:top w:val="single" w:sz="4" w:space="0" w:color="auto"/>
              <w:left w:val="single" w:sz="4" w:space="0" w:color="auto"/>
              <w:bottom w:val="single" w:sz="4" w:space="0" w:color="auto"/>
              <w:right w:val="nil"/>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EV/EBITDA</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EV/EBIT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P/E</w:t>
            </w:r>
          </w:p>
        </w:tc>
      </w:tr>
      <w:tr w:rsidR="000941F3" w:rsidTr="000941F3">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16,38</w:t>
            </w:r>
          </w:p>
        </w:tc>
        <w:tc>
          <w:tcPr>
            <w:tcW w:w="0" w:type="auto"/>
            <w:tcBorders>
              <w:top w:val="nil"/>
              <w:left w:val="nil"/>
              <w:bottom w:val="single" w:sz="4" w:space="0" w:color="auto"/>
              <w:right w:val="nil"/>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4,24 x</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5,51 x</w:t>
            </w:r>
          </w:p>
        </w:tc>
        <w:tc>
          <w:tcPr>
            <w:tcW w:w="0" w:type="auto"/>
            <w:tcBorders>
              <w:top w:val="nil"/>
              <w:left w:val="nil"/>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7,36 x</w:t>
            </w:r>
          </w:p>
        </w:tc>
      </w:tr>
      <w:tr w:rsidR="000941F3" w:rsidTr="000941F3">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18,20</w:t>
            </w:r>
          </w:p>
        </w:tc>
        <w:tc>
          <w:tcPr>
            <w:tcW w:w="0" w:type="auto"/>
            <w:tcBorders>
              <w:top w:val="nil"/>
              <w:left w:val="nil"/>
              <w:bottom w:val="single" w:sz="4" w:space="0" w:color="auto"/>
              <w:right w:val="nil"/>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4,76 x</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6,18 x</w:t>
            </w:r>
          </w:p>
        </w:tc>
        <w:tc>
          <w:tcPr>
            <w:tcW w:w="0" w:type="auto"/>
            <w:tcBorders>
              <w:top w:val="nil"/>
              <w:left w:val="nil"/>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8,18 x</w:t>
            </w:r>
          </w:p>
        </w:tc>
      </w:tr>
      <w:tr w:rsidR="000941F3" w:rsidTr="000941F3">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19,11</w:t>
            </w:r>
          </w:p>
        </w:tc>
        <w:tc>
          <w:tcPr>
            <w:tcW w:w="0" w:type="auto"/>
            <w:tcBorders>
              <w:top w:val="nil"/>
              <w:left w:val="nil"/>
              <w:bottom w:val="single" w:sz="4" w:space="0" w:color="auto"/>
              <w:right w:val="nil"/>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5,02 x</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6,52 x</w:t>
            </w:r>
          </w:p>
        </w:tc>
        <w:tc>
          <w:tcPr>
            <w:tcW w:w="0" w:type="auto"/>
            <w:tcBorders>
              <w:top w:val="nil"/>
              <w:left w:val="nil"/>
              <w:bottom w:val="single" w:sz="4" w:space="0" w:color="auto"/>
              <w:right w:val="single" w:sz="4" w:space="0" w:color="auto"/>
            </w:tcBorders>
            <w:shd w:val="clear" w:color="auto" w:fill="auto"/>
            <w:noWrap/>
            <w:vAlign w:val="bottom"/>
            <w:hideMark/>
          </w:tcPr>
          <w:p w:rsidR="000941F3" w:rsidRDefault="000941F3">
            <w:pPr>
              <w:jc w:val="center"/>
              <w:rPr>
                <w:rFonts w:ascii="Calibri" w:hAnsi="Calibri" w:cs="Calibri"/>
                <w:color w:val="000000"/>
              </w:rPr>
            </w:pPr>
            <w:r>
              <w:rPr>
                <w:rFonts w:ascii="Calibri" w:hAnsi="Calibri" w:cs="Calibri"/>
                <w:color w:val="000000"/>
              </w:rPr>
              <w:t>8,59 x</w:t>
            </w:r>
          </w:p>
        </w:tc>
      </w:tr>
    </w:tbl>
    <w:p w:rsidR="000941F3" w:rsidRDefault="000941F3" w:rsidP="000941F3">
      <w:pPr>
        <w:rPr>
          <w:sz w:val="24"/>
        </w:rPr>
      </w:pPr>
    </w:p>
    <w:tbl>
      <w:tblPr>
        <w:tblW w:w="10560" w:type="dxa"/>
        <w:tblCellMar>
          <w:left w:w="0" w:type="dxa"/>
          <w:right w:w="0" w:type="dxa"/>
        </w:tblCellMar>
        <w:tblLook w:val="04A0" w:firstRow="1" w:lastRow="0" w:firstColumn="1" w:lastColumn="0" w:noHBand="0" w:noVBand="1"/>
      </w:tblPr>
      <w:tblGrid>
        <w:gridCol w:w="3208"/>
        <w:gridCol w:w="1123"/>
        <w:gridCol w:w="925"/>
        <w:gridCol w:w="2083"/>
        <w:gridCol w:w="1459"/>
        <w:gridCol w:w="1014"/>
        <w:gridCol w:w="765"/>
      </w:tblGrid>
      <w:tr w:rsidR="000941F3" w:rsidTr="000941F3">
        <w:trPr>
          <w:trHeight w:val="288"/>
        </w:trPr>
        <w:tc>
          <w:tcPr>
            <w:tcW w:w="3200" w:type="dxa"/>
            <w:tcBorders>
              <w:top w:val="single" w:sz="4" w:space="0" w:color="auto"/>
              <w:left w:val="single" w:sz="4" w:space="0" w:color="auto"/>
              <w:bottom w:val="nil"/>
              <w:right w:val="nil"/>
            </w:tcBorders>
            <w:shd w:val="clear" w:color="000000" w:fill="4F81BD"/>
            <w:noWrap/>
            <w:vAlign w:val="bottom"/>
            <w:hideMark/>
          </w:tcPr>
          <w:p w:rsidR="000941F3" w:rsidRDefault="000941F3">
            <w:pPr>
              <w:rPr>
                <w:rFonts w:ascii="Calibri" w:hAnsi="Calibri" w:cs="Calibri"/>
                <w:b/>
                <w:bCs/>
                <w:color w:val="FFFFFF"/>
              </w:rPr>
            </w:pPr>
            <w:r>
              <w:rPr>
                <w:rFonts w:ascii="Calibri" w:hAnsi="Calibri" w:cs="Calibri"/>
                <w:b/>
                <w:bCs/>
                <w:color w:val="FFFFFF"/>
              </w:rPr>
              <w:t>French Media Companies</w:t>
            </w:r>
          </w:p>
        </w:tc>
        <w:tc>
          <w:tcPr>
            <w:tcW w:w="7360" w:type="dxa"/>
            <w:gridSpan w:val="6"/>
            <w:tcBorders>
              <w:top w:val="single" w:sz="4" w:space="0" w:color="auto"/>
              <w:left w:val="nil"/>
              <w:bottom w:val="nil"/>
              <w:right w:val="single" w:sz="4" w:space="0" w:color="000000"/>
            </w:tcBorders>
            <w:shd w:val="clear" w:color="000000" w:fill="4F81BD"/>
            <w:noWrap/>
            <w:vAlign w:val="bottom"/>
            <w:hideMark/>
          </w:tcPr>
          <w:p w:rsidR="000941F3" w:rsidRDefault="000941F3">
            <w:pPr>
              <w:jc w:val="center"/>
              <w:rPr>
                <w:rFonts w:ascii="Calibri" w:hAnsi="Calibri" w:cs="Calibri"/>
                <w:b/>
                <w:bCs/>
                <w:color w:val="FFFFFF"/>
              </w:rPr>
            </w:pPr>
            <w:r>
              <w:rPr>
                <w:rFonts w:ascii="Calibri" w:hAnsi="Calibri" w:cs="Calibri"/>
                <w:b/>
                <w:bCs/>
                <w:color w:val="FFFFFF"/>
              </w:rPr>
              <w:t>Summary of current multiples</w:t>
            </w:r>
          </w:p>
        </w:tc>
      </w:tr>
      <w:tr w:rsidR="000941F3" w:rsidTr="000941F3">
        <w:trPr>
          <w:trHeight w:val="468"/>
        </w:trPr>
        <w:tc>
          <w:tcPr>
            <w:tcW w:w="0" w:type="auto"/>
            <w:tcBorders>
              <w:top w:val="nil"/>
              <w:left w:val="single" w:sz="4" w:space="0" w:color="auto"/>
              <w:bottom w:val="single" w:sz="4" w:space="0" w:color="auto"/>
              <w:right w:val="nil"/>
            </w:tcBorders>
            <w:shd w:val="clear" w:color="000000" w:fill="4F81BD"/>
            <w:noWrap/>
            <w:vAlign w:val="bottom"/>
            <w:hideMark/>
          </w:tcPr>
          <w:p w:rsidR="000941F3" w:rsidRDefault="000941F3">
            <w:pPr>
              <w:rPr>
                <w:rFonts w:ascii="Calibri" w:hAnsi="Calibri" w:cs="Calibri"/>
                <w:b/>
                <w:bCs/>
                <w:color w:val="FFFFFF"/>
              </w:rPr>
            </w:pPr>
            <w:r>
              <w:rPr>
                <w:rFonts w:ascii="Calibri" w:hAnsi="Calibri" w:cs="Calibri"/>
                <w:b/>
                <w:bCs/>
                <w:color w:val="FFFFFF"/>
              </w:rPr>
              <w:t>Name</w:t>
            </w:r>
          </w:p>
        </w:tc>
        <w:tc>
          <w:tcPr>
            <w:tcW w:w="0" w:type="auto"/>
            <w:tcBorders>
              <w:top w:val="nil"/>
              <w:left w:val="nil"/>
              <w:bottom w:val="single" w:sz="4" w:space="0" w:color="auto"/>
              <w:right w:val="nil"/>
            </w:tcBorders>
            <w:shd w:val="clear" w:color="000000" w:fill="4F81BD"/>
            <w:noWrap/>
            <w:vAlign w:val="bottom"/>
            <w:hideMark/>
          </w:tcPr>
          <w:p w:rsidR="000941F3" w:rsidRDefault="000941F3">
            <w:pPr>
              <w:rPr>
                <w:rFonts w:ascii="Calibri" w:hAnsi="Calibri" w:cs="Calibri"/>
                <w:b/>
                <w:bCs/>
                <w:color w:val="FFFFFF"/>
              </w:rPr>
            </w:pPr>
            <w:r>
              <w:rPr>
                <w:rFonts w:ascii="Calibri" w:hAnsi="Calibri" w:cs="Calibri"/>
                <w:b/>
                <w:bCs/>
                <w:color w:val="FFFFFF"/>
              </w:rPr>
              <w:t>Ticker</w:t>
            </w:r>
          </w:p>
        </w:tc>
        <w:tc>
          <w:tcPr>
            <w:tcW w:w="0" w:type="auto"/>
            <w:tcBorders>
              <w:top w:val="nil"/>
              <w:left w:val="nil"/>
              <w:bottom w:val="single" w:sz="4" w:space="0" w:color="auto"/>
              <w:right w:val="nil"/>
            </w:tcBorders>
            <w:shd w:val="clear" w:color="000000" w:fill="4F81BD"/>
            <w:noWrap/>
            <w:vAlign w:val="bottom"/>
            <w:hideMark/>
          </w:tcPr>
          <w:p w:rsidR="000941F3" w:rsidRDefault="000941F3">
            <w:pPr>
              <w:rPr>
                <w:rFonts w:ascii="Calibri" w:hAnsi="Calibri" w:cs="Calibri"/>
                <w:b/>
                <w:bCs/>
                <w:color w:val="FFFFFF"/>
              </w:rPr>
            </w:pPr>
            <w:r>
              <w:rPr>
                <w:rFonts w:ascii="Calibri" w:hAnsi="Calibri" w:cs="Calibri"/>
                <w:b/>
                <w:bCs/>
                <w:color w:val="FFFFFF"/>
              </w:rPr>
              <w:t>2Y Corr</w:t>
            </w:r>
          </w:p>
        </w:tc>
        <w:tc>
          <w:tcPr>
            <w:tcW w:w="0" w:type="auto"/>
            <w:tcBorders>
              <w:top w:val="nil"/>
              <w:left w:val="nil"/>
              <w:bottom w:val="single" w:sz="4" w:space="0" w:color="auto"/>
              <w:right w:val="nil"/>
            </w:tcBorders>
            <w:shd w:val="clear" w:color="000000" w:fill="4F81BD"/>
            <w:noWrap/>
            <w:vAlign w:val="bottom"/>
            <w:hideMark/>
          </w:tcPr>
          <w:p w:rsidR="000941F3" w:rsidRDefault="000941F3">
            <w:pPr>
              <w:rPr>
                <w:rFonts w:ascii="Calibri" w:hAnsi="Calibri" w:cs="Calibri"/>
                <w:b/>
                <w:bCs/>
                <w:color w:val="FFFFFF"/>
              </w:rPr>
            </w:pPr>
            <w:r>
              <w:rPr>
                <w:rFonts w:ascii="Calibri" w:hAnsi="Calibri" w:cs="Calibri"/>
                <w:b/>
                <w:bCs/>
                <w:color w:val="FFFFFF"/>
              </w:rPr>
              <w:t>Mkt Cap (EUR B)</w:t>
            </w:r>
          </w:p>
        </w:tc>
        <w:tc>
          <w:tcPr>
            <w:tcW w:w="0" w:type="auto"/>
            <w:tcBorders>
              <w:top w:val="nil"/>
              <w:left w:val="nil"/>
              <w:bottom w:val="single" w:sz="4" w:space="0" w:color="auto"/>
              <w:right w:val="nil"/>
            </w:tcBorders>
            <w:shd w:val="clear" w:color="000000" w:fill="4F81BD"/>
            <w:noWrap/>
            <w:vAlign w:val="bottom"/>
            <w:hideMark/>
          </w:tcPr>
          <w:p w:rsidR="000941F3" w:rsidRDefault="000941F3">
            <w:pPr>
              <w:rPr>
                <w:rFonts w:ascii="Calibri" w:hAnsi="Calibri" w:cs="Calibri"/>
                <w:b/>
                <w:bCs/>
                <w:color w:val="FFFFFF"/>
              </w:rPr>
            </w:pPr>
            <w:r>
              <w:rPr>
                <w:rFonts w:ascii="Calibri" w:hAnsi="Calibri" w:cs="Calibri"/>
                <w:b/>
                <w:bCs/>
                <w:color w:val="FFFFFF"/>
              </w:rPr>
              <w:t xml:space="preserve"> EV/EBITDA</w:t>
            </w:r>
          </w:p>
        </w:tc>
        <w:tc>
          <w:tcPr>
            <w:tcW w:w="0" w:type="auto"/>
            <w:tcBorders>
              <w:top w:val="nil"/>
              <w:left w:val="nil"/>
              <w:bottom w:val="single" w:sz="4" w:space="0" w:color="auto"/>
              <w:right w:val="nil"/>
            </w:tcBorders>
            <w:shd w:val="clear" w:color="000000" w:fill="4F81BD"/>
            <w:noWrap/>
            <w:vAlign w:val="bottom"/>
            <w:hideMark/>
          </w:tcPr>
          <w:p w:rsidR="000941F3" w:rsidRDefault="000941F3">
            <w:pPr>
              <w:rPr>
                <w:rFonts w:ascii="Calibri" w:hAnsi="Calibri" w:cs="Calibri"/>
                <w:b/>
                <w:bCs/>
                <w:color w:val="FFFFFF"/>
              </w:rPr>
            </w:pPr>
            <w:r>
              <w:rPr>
                <w:rFonts w:ascii="Calibri" w:hAnsi="Calibri" w:cs="Calibri"/>
                <w:b/>
                <w:bCs/>
                <w:color w:val="FFFFFF"/>
              </w:rPr>
              <w:t>EV/EBIT</w:t>
            </w:r>
          </w:p>
        </w:tc>
        <w:tc>
          <w:tcPr>
            <w:tcW w:w="0" w:type="auto"/>
            <w:tcBorders>
              <w:top w:val="nil"/>
              <w:left w:val="nil"/>
              <w:bottom w:val="single" w:sz="4" w:space="0" w:color="auto"/>
              <w:right w:val="single" w:sz="4" w:space="0" w:color="auto"/>
            </w:tcBorders>
            <w:shd w:val="clear" w:color="000000" w:fill="4F81BD"/>
            <w:noWrap/>
            <w:vAlign w:val="bottom"/>
            <w:hideMark/>
          </w:tcPr>
          <w:p w:rsidR="000941F3" w:rsidRDefault="000941F3">
            <w:pPr>
              <w:rPr>
                <w:rFonts w:ascii="Calibri" w:hAnsi="Calibri" w:cs="Calibri"/>
                <w:b/>
                <w:bCs/>
                <w:color w:val="FFFFFF"/>
              </w:rPr>
            </w:pPr>
            <w:r>
              <w:rPr>
                <w:rFonts w:ascii="Calibri" w:hAnsi="Calibri" w:cs="Calibri"/>
                <w:b/>
                <w:bCs/>
                <w:color w:val="FFFFFF"/>
              </w:rPr>
              <w:t>P/E</w:t>
            </w:r>
          </w:p>
        </w:tc>
      </w:tr>
      <w:tr w:rsidR="000941F3" w:rsidTr="000941F3">
        <w:trPr>
          <w:trHeight w:val="288"/>
        </w:trPr>
        <w:tc>
          <w:tcPr>
            <w:tcW w:w="0" w:type="auto"/>
            <w:tcBorders>
              <w:top w:val="nil"/>
              <w:left w:val="single" w:sz="4" w:space="0" w:color="auto"/>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Metropole Television SA</w:t>
            </w:r>
          </w:p>
        </w:tc>
        <w:tc>
          <w:tcPr>
            <w:tcW w:w="0" w:type="auto"/>
            <w:tcBorders>
              <w:top w:val="nil"/>
              <w:left w:val="nil"/>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MMT FP</w:t>
            </w:r>
          </w:p>
        </w:tc>
        <w:tc>
          <w:tcPr>
            <w:tcW w:w="0" w:type="auto"/>
            <w:tcBorders>
              <w:top w:val="nil"/>
              <w:left w:val="nil"/>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2248909472</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4,64</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6,03</w:t>
            </w:r>
          </w:p>
        </w:tc>
        <w:tc>
          <w:tcPr>
            <w:tcW w:w="0" w:type="auto"/>
            <w:tcBorders>
              <w:top w:val="nil"/>
              <w:left w:val="nil"/>
              <w:bottom w:val="nil"/>
              <w:right w:val="single" w:sz="4" w:space="0" w:color="auto"/>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7,99</w:t>
            </w:r>
          </w:p>
        </w:tc>
      </w:tr>
      <w:tr w:rsidR="000941F3" w:rsidTr="000941F3">
        <w:trPr>
          <w:trHeight w:val="288"/>
        </w:trPr>
        <w:tc>
          <w:tcPr>
            <w:tcW w:w="0" w:type="auto"/>
            <w:tcBorders>
              <w:top w:val="nil"/>
              <w:left w:val="single" w:sz="4" w:space="0" w:color="auto"/>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Television Francaise 1</w:t>
            </w:r>
          </w:p>
        </w:tc>
        <w:tc>
          <w:tcPr>
            <w:tcW w:w="0" w:type="auto"/>
            <w:tcBorders>
              <w:top w:val="nil"/>
              <w:left w:val="nil"/>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TFI FP</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0,662</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1793337610</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2,25</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4,87</w:t>
            </w:r>
          </w:p>
        </w:tc>
        <w:tc>
          <w:tcPr>
            <w:tcW w:w="0" w:type="auto"/>
            <w:tcBorders>
              <w:top w:val="nil"/>
              <w:left w:val="nil"/>
              <w:bottom w:val="nil"/>
              <w:right w:val="single" w:sz="4" w:space="0" w:color="auto"/>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8,02</w:t>
            </w:r>
          </w:p>
        </w:tc>
      </w:tr>
      <w:tr w:rsidR="000941F3" w:rsidTr="000941F3">
        <w:trPr>
          <w:trHeight w:val="288"/>
        </w:trPr>
        <w:tc>
          <w:tcPr>
            <w:tcW w:w="0" w:type="auto"/>
            <w:tcBorders>
              <w:top w:val="nil"/>
              <w:left w:val="single" w:sz="4" w:space="0" w:color="auto"/>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RTL Group SA</w:t>
            </w:r>
          </w:p>
        </w:tc>
        <w:tc>
          <w:tcPr>
            <w:tcW w:w="0" w:type="auto"/>
            <w:tcBorders>
              <w:top w:val="nil"/>
              <w:left w:val="nil"/>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RTL LX</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0,5955</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8046625912</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8,32</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10,45</w:t>
            </w:r>
          </w:p>
        </w:tc>
        <w:tc>
          <w:tcPr>
            <w:tcW w:w="0" w:type="auto"/>
            <w:tcBorders>
              <w:top w:val="nil"/>
              <w:left w:val="nil"/>
              <w:bottom w:val="nil"/>
              <w:right w:val="single" w:sz="4" w:space="0" w:color="auto"/>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6,18</w:t>
            </w:r>
          </w:p>
        </w:tc>
      </w:tr>
      <w:tr w:rsidR="000941F3" w:rsidTr="000941F3">
        <w:trPr>
          <w:trHeight w:val="288"/>
        </w:trPr>
        <w:tc>
          <w:tcPr>
            <w:tcW w:w="0" w:type="auto"/>
            <w:tcBorders>
              <w:top w:val="nil"/>
              <w:left w:val="single" w:sz="4" w:space="0" w:color="auto"/>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ProSiebenSat.1 Media SE</w:t>
            </w:r>
          </w:p>
        </w:tc>
        <w:tc>
          <w:tcPr>
            <w:tcW w:w="0" w:type="auto"/>
            <w:tcBorders>
              <w:top w:val="nil"/>
              <w:left w:val="nil"/>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PSM GR</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0,5713</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2576980000</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6,07</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8,65</w:t>
            </w:r>
          </w:p>
        </w:tc>
        <w:tc>
          <w:tcPr>
            <w:tcW w:w="0" w:type="auto"/>
            <w:tcBorders>
              <w:top w:val="nil"/>
              <w:left w:val="nil"/>
              <w:bottom w:val="nil"/>
              <w:right w:val="single" w:sz="4" w:space="0" w:color="auto"/>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5,44</w:t>
            </w:r>
          </w:p>
        </w:tc>
      </w:tr>
      <w:tr w:rsidR="000941F3" w:rsidTr="000941F3">
        <w:trPr>
          <w:trHeight w:val="288"/>
        </w:trPr>
        <w:tc>
          <w:tcPr>
            <w:tcW w:w="0" w:type="auto"/>
            <w:tcBorders>
              <w:top w:val="nil"/>
              <w:left w:val="single" w:sz="4" w:space="0" w:color="auto"/>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ITV PLC</w:t>
            </w:r>
          </w:p>
        </w:tc>
        <w:tc>
          <w:tcPr>
            <w:tcW w:w="0" w:type="auto"/>
            <w:tcBorders>
              <w:top w:val="nil"/>
              <w:left w:val="nil"/>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ITV LN</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0,5139</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3747930196</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3,37</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7,16</w:t>
            </w:r>
          </w:p>
        </w:tc>
        <w:tc>
          <w:tcPr>
            <w:tcW w:w="0" w:type="auto"/>
            <w:tcBorders>
              <w:top w:val="nil"/>
              <w:left w:val="nil"/>
              <w:bottom w:val="nil"/>
              <w:right w:val="single" w:sz="4" w:space="0" w:color="auto"/>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4,97</w:t>
            </w:r>
          </w:p>
        </w:tc>
      </w:tr>
      <w:tr w:rsidR="000941F3" w:rsidTr="000941F3">
        <w:trPr>
          <w:trHeight w:val="288"/>
        </w:trPr>
        <w:tc>
          <w:tcPr>
            <w:tcW w:w="0" w:type="auto"/>
            <w:tcBorders>
              <w:top w:val="nil"/>
              <w:left w:val="single" w:sz="4" w:space="0" w:color="auto"/>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Atresmedia Corp de Medios de C</w:t>
            </w:r>
          </w:p>
        </w:tc>
        <w:tc>
          <w:tcPr>
            <w:tcW w:w="0" w:type="auto"/>
            <w:tcBorders>
              <w:top w:val="nil"/>
              <w:left w:val="nil"/>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A3M SM</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0,4942</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853721449,6</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3,31</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5,03</w:t>
            </w:r>
          </w:p>
        </w:tc>
        <w:tc>
          <w:tcPr>
            <w:tcW w:w="0" w:type="auto"/>
            <w:tcBorders>
              <w:top w:val="nil"/>
              <w:left w:val="nil"/>
              <w:bottom w:val="nil"/>
              <w:right w:val="single" w:sz="4" w:space="0" w:color="auto"/>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7,42</w:t>
            </w:r>
          </w:p>
        </w:tc>
      </w:tr>
      <w:tr w:rsidR="000941F3" w:rsidTr="000941F3">
        <w:trPr>
          <w:trHeight w:val="288"/>
        </w:trPr>
        <w:tc>
          <w:tcPr>
            <w:tcW w:w="0" w:type="auto"/>
            <w:tcBorders>
              <w:top w:val="nil"/>
              <w:left w:val="single" w:sz="4" w:space="0" w:color="auto"/>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MFE-MediaForEurope NV</w:t>
            </w:r>
          </w:p>
        </w:tc>
        <w:tc>
          <w:tcPr>
            <w:tcW w:w="0" w:type="auto"/>
            <w:tcBorders>
              <w:top w:val="nil"/>
              <w:left w:val="nil"/>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MFEB IM</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0,4931</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1809000801</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4,08</w:t>
            </w:r>
          </w:p>
        </w:tc>
        <w:tc>
          <w:tcPr>
            <w:tcW w:w="0" w:type="auto"/>
            <w:tcBorders>
              <w:top w:val="nil"/>
              <w:left w:val="nil"/>
              <w:bottom w:val="nil"/>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4,85</w:t>
            </w:r>
          </w:p>
        </w:tc>
        <w:tc>
          <w:tcPr>
            <w:tcW w:w="0" w:type="auto"/>
            <w:tcBorders>
              <w:top w:val="nil"/>
              <w:left w:val="nil"/>
              <w:bottom w:val="nil"/>
              <w:right w:val="single" w:sz="4" w:space="0" w:color="auto"/>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8,20</w:t>
            </w:r>
          </w:p>
        </w:tc>
      </w:tr>
      <w:tr w:rsidR="000941F3" w:rsidTr="000941F3">
        <w:trPr>
          <w:trHeight w:val="288"/>
        </w:trPr>
        <w:tc>
          <w:tcPr>
            <w:tcW w:w="0" w:type="auto"/>
            <w:tcBorders>
              <w:top w:val="nil"/>
              <w:left w:val="single" w:sz="4" w:space="0" w:color="auto"/>
              <w:bottom w:val="single" w:sz="4" w:space="0" w:color="auto"/>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Mediaset Espana Comunicacion S</w:t>
            </w:r>
          </w:p>
        </w:tc>
        <w:tc>
          <w:tcPr>
            <w:tcW w:w="0" w:type="auto"/>
            <w:tcBorders>
              <w:top w:val="nil"/>
              <w:left w:val="nil"/>
              <w:bottom w:val="single" w:sz="4" w:space="0" w:color="auto"/>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TL5 SM</w:t>
            </w:r>
          </w:p>
        </w:tc>
        <w:tc>
          <w:tcPr>
            <w:tcW w:w="0" w:type="auto"/>
            <w:tcBorders>
              <w:top w:val="nil"/>
              <w:left w:val="nil"/>
              <w:bottom w:val="single" w:sz="4" w:space="0" w:color="auto"/>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0,4458</w:t>
            </w:r>
          </w:p>
        </w:tc>
        <w:tc>
          <w:tcPr>
            <w:tcW w:w="0" w:type="auto"/>
            <w:tcBorders>
              <w:top w:val="nil"/>
              <w:left w:val="nil"/>
              <w:bottom w:val="single" w:sz="4" w:space="0" w:color="auto"/>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1361646394</w:t>
            </w:r>
          </w:p>
        </w:tc>
        <w:tc>
          <w:tcPr>
            <w:tcW w:w="0" w:type="auto"/>
            <w:tcBorders>
              <w:top w:val="nil"/>
              <w:left w:val="nil"/>
              <w:bottom w:val="single" w:sz="4" w:space="0" w:color="auto"/>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4,96</w:t>
            </w:r>
          </w:p>
        </w:tc>
        <w:tc>
          <w:tcPr>
            <w:tcW w:w="0" w:type="auto"/>
            <w:tcBorders>
              <w:top w:val="nil"/>
              <w:left w:val="nil"/>
              <w:bottom w:val="single" w:sz="4" w:space="0" w:color="auto"/>
              <w:right w:val="nil"/>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5,55</w:t>
            </w:r>
          </w:p>
        </w:tc>
        <w:tc>
          <w:tcPr>
            <w:tcW w:w="0" w:type="auto"/>
            <w:tcBorders>
              <w:top w:val="nil"/>
              <w:left w:val="nil"/>
              <w:bottom w:val="single" w:sz="4" w:space="0" w:color="auto"/>
              <w:right w:val="single" w:sz="4" w:space="0" w:color="auto"/>
            </w:tcBorders>
            <w:shd w:val="clear" w:color="auto" w:fill="auto"/>
            <w:noWrap/>
            <w:vAlign w:val="bottom"/>
            <w:hideMark/>
          </w:tcPr>
          <w:p w:rsidR="000941F3" w:rsidRDefault="000941F3">
            <w:pPr>
              <w:jc w:val="right"/>
              <w:rPr>
                <w:rFonts w:ascii="Arial" w:hAnsi="Arial" w:cs="Arial"/>
                <w:sz w:val="20"/>
                <w:szCs w:val="20"/>
              </w:rPr>
            </w:pPr>
            <w:r>
              <w:rPr>
                <w:rFonts w:ascii="Arial" w:hAnsi="Arial" w:cs="Arial"/>
                <w:sz w:val="20"/>
                <w:szCs w:val="20"/>
              </w:rPr>
              <w:t>7,18</w:t>
            </w:r>
          </w:p>
        </w:tc>
      </w:tr>
      <w:tr w:rsidR="000941F3" w:rsidTr="000941F3">
        <w:trPr>
          <w:trHeight w:val="288"/>
        </w:trPr>
        <w:tc>
          <w:tcPr>
            <w:tcW w:w="0" w:type="auto"/>
            <w:tcBorders>
              <w:top w:val="nil"/>
              <w:left w:val="single" w:sz="4" w:space="0" w:color="auto"/>
              <w:bottom w:val="nil"/>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Current Premium to Comps Mean</w:t>
            </w:r>
          </w:p>
        </w:tc>
        <w:tc>
          <w:tcPr>
            <w:tcW w:w="0" w:type="auto"/>
            <w:tcBorders>
              <w:top w:val="nil"/>
              <w:left w:val="nil"/>
              <w:bottom w:val="nil"/>
              <w:right w:val="nil"/>
            </w:tcBorders>
            <w:shd w:val="clear" w:color="auto" w:fill="auto"/>
            <w:noWrap/>
            <w:vAlign w:val="bottom"/>
            <w:hideMark/>
          </w:tcPr>
          <w:p w:rsidR="000941F3" w:rsidRDefault="000941F3">
            <w:pP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0941F3" w:rsidRDefault="000941F3">
            <w:pPr>
              <w:rPr>
                <w:sz w:val="20"/>
                <w:szCs w:val="20"/>
              </w:rPr>
            </w:pPr>
          </w:p>
        </w:tc>
        <w:tc>
          <w:tcPr>
            <w:tcW w:w="0" w:type="auto"/>
            <w:tcBorders>
              <w:top w:val="nil"/>
              <w:left w:val="nil"/>
              <w:bottom w:val="nil"/>
              <w:right w:val="nil"/>
            </w:tcBorders>
            <w:shd w:val="clear" w:color="auto" w:fill="auto"/>
            <w:noWrap/>
            <w:vAlign w:val="bottom"/>
            <w:hideMark/>
          </w:tcPr>
          <w:p w:rsidR="000941F3" w:rsidRDefault="000941F3">
            <w:pPr>
              <w:rPr>
                <w:sz w:val="20"/>
                <w:szCs w:val="20"/>
              </w:rPr>
            </w:pP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0,3%</w:t>
            </w:r>
          </w:p>
        </w:tc>
        <w:tc>
          <w:tcPr>
            <w:tcW w:w="0" w:type="auto"/>
            <w:tcBorders>
              <w:top w:val="nil"/>
              <w:left w:val="nil"/>
              <w:bottom w:val="nil"/>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-8,2%</w:t>
            </w:r>
          </w:p>
        </w:tc>
        <w:tc>
          <w:tcPr>
            <w:tcW w:w="0" w:type="auto"/>
            <w:tcBorders>
              <w:top w:val="nil"/>
              <w:left w:val="nil"/>
              <w:bottom w:val="nil"/>
              <w:right w:val="single" w:sz="4" w:space="0" w:color="auto"/>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15,4%</w:t>
            </w:r>
          </w:p>
        </w:tc>
      </w:tr>
      <w:tr w:rsidR="000941F3" w:rsidTr="000941F3">
        <w:trPr>
          <w:trHeight w:val="288"/>
        </w:trPr>
        <w:tc>
          <w:tcPr>
            <w:tcW w:w="0" w:type="auto"/>
            <w:tcBorders>
              <w:top w:val="nil"/>
              <w:left w:val="single" w:sz="4" w:space="0" w:color="auto"/>
              <w:bottom w:val="single" w:sz="4" w:space="0" w:color="auto"/>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Mean   (Including Metropole)</w:t>
            </w:r>
          </w:p>
        </w:tc>
        <w:tc>
          <w:tcPr>
            <w:tcW w:w="0" w:type="auto"/>
            <w:tcBorders>
              <w:top w:val="nil"/>
              <w:left w:val="nil"/>
              <w:bottom w:val="single" w:sz="4" w:space="0" w:color="auto"/>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0941F3" w:rsidRDefault="000941F3">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2804768979</w:t>
            </w:r>
          </w:p>
        </w:tc>
        <w:tc>
          <w:tcPr>
            <w:tcW w:w="0" w:type="auto"/>
            <w:tcBorders>
              <w:top w:val="nil"/>
              <w:left w:val="nil"/>
              <w:bottom w:val="single" w:sz="4" w:space="0" w:color="auto"/>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4,6</w:t>
            </w:r>
          </w:p>
        </w:tc>
        <w:tc>
          <w:tcPr>
            <w:tcW w:w="0" w:type="auto"/>
            <w:tcBorders>
              <w:top w:val="nil"/>
              <w:left w:val="nil"/>
              <w:bottom w:val="single" w:sz="4" w:space="0" w:color="auto"/>
              <w:right w:val="nil"/>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6,6</w:t>
            </w:r>
          </w:p>
        </w:tc>
        <w:tc>
          <w:tcPr>
            <w:tcW w:w="0" w:type="auto"/>
            <w:tcBorders>
              <w:top w:val="nil"/>
              <w:left w:val="nil"/>
              <w:bottom w:val="single" w:sz="4" w:space="0" w:color="auto"/>
              <w:right w:val="single" w:sz="4" w:space="0" w:color="auto"/>
            </w:tcBorders>
            <w:shd w:val="clear" w:color="auto" w:fill="auto"/>
            <w:noWrap/>
            <w:vAlign w:val="bottom"/>
            <w:hideMark/>
          </w:tcPr>
          <w:p w:rsidR="000941F3" w:rsidRDefault="000941F3">
            <w:pPr>
              <w:jc w:val="right"/>
              <w:rPr>
                <w:rFonts w:ascii="Calibri" w:hAnsi="Calibri" w:cs="Calibri"/>
                <w:color w:val="000000"/>
              </w:rPr>
            </w:pPr>
            <w:r>
              <w:rPr>
                <w:rFonts w:ascii="Calibri" w:hAnsi="Calibri" w:cs="Calibri"/>
                <w:color w:val="000000"/>
              </w:rPr>
              <w:t>6,9</w:t>
            </w:r>
          </w:p>
        </w:tc>
      </w:tr>
    </w:tbl>
    <w:p w:rsidR="000941F3" w:rsidRPr="000941F3" w:rsidRDefault="000941F3" w:rsidP="000941F3">
      <w:pPr>
        <w:rPr>
          <w:sz w:val="24"/>
        </w:rPr>
      </w:pPr>
    </w:p>
    <w:sectPr w:rsidR="000941F3" w:rsidRPr="000941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0941F3"/>
    <w:rsid w:val="000941F3"/>
    <w:rsid w:val="00121CCD"/>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15F5B-8B2F-4CF1-9443-FD03B719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31606">
      <w:bodyDiv w:val="1"/>
      <w:marLeft w:val="0"/>
      <w:marRight w:val="0"/>
      <w:marTop w:val="0"/>
      <w:marBottom w:val="0"/>
      <w:divBdr>
        <w:top w:val="none" w:sz="0" w:space="0" w:color="auto"/>
        <w:left w:val="none" w:sz="0" w:space="0" w:color="auto"/>
        <w:bottom w:val="none" w:sz="0" w:space="0" w:color="auto"/>
        <w:right w:val="none" w:sz="0" w:space="0" w:color="auto"/>
      </w:divBdr>
    </w:div>
    <w:div w:id="167445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BERTOLLA, Mickaël</dc:creator>
  <cp:keywords/>
  <dc:description/>
  <cp:lastModifiedBy>BERTOLLA, Mickaël</cp:lastModifiedBy>
  <cp:revision>1</cp:revision>
  <dcterms:created xsi:type="dcterms:W3CDTF">2022-04-29T18:58:00Z</dcterms:created>
  <dcterms:modified xsi:type="dcterms:W3CDTF">2022-04-29T18:58:00Z</dcterms:modified>
</cp:coreProperties>
</file>