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sectPr w:rsidR="00000000">
                <w:pgSz w:w="11906" w:h="16838"/>
                <w:pgMar w:top="1440" w:right="1440" w:bottom="1440" w:left="1440" w:header="851" w:footer="992" w:gutter="0"/>
                <w:cols w:space="425"/>
              </w:sectPr>
            </w:pPr>
            <w:r>
              <w:t>格里有分节符</w:t>
            </w:r>
          </w:p>
        </w:tc>
        <w:tc>
          <w:tcPr>
            <w:tcW w:w="4000" w:type="dxa"/>
          </w:tcPr>
          <w:p>
            <w:r>
              <w:t>普通格</w:t>
            </w:r>
          </w:p>
        </w:tc>
      </w:tr>
    </w:tbl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