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2"/>
      </w:pPr>
      <w:r>
        <mc:AlternateContent xmlns:mc="http://schemas.openxmlformats.org/markup-compatibility/2006">
          <mc:Choice Requires="wps">
            <w:drawing>
              <wp:anchor behindDoc="1" distT="0" distB="0" distL="0" distR="0" simplePos="0" relativeHeight="2" locked="0" layoutInCell="1" allowOverlap="1">
                <wp:simplePos x="0" y="0"/>
                <wp:extent cx="6048375" cy="9525"/>
                <a:graphic>
                  <a:graphicData uri="http://schemas.microsoft.com/office/word/2010/wordprocessingShape">
                    <wps:wsp xmlns:wps="http://schemas.microsoft.com/office/word/2010/wordprocessingShape">
                      <wps:spPr>
                        <a:xfrm>
                          <a:off x="0" y="0"/>
                          <a:ext cx="6048375" cy="9525"/>
                        </a:xfrm>
                      </wps:sp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" id="rule1" filled="true"/>
            </w:pict>
          </mc:Fallback>
        </mc:AlternateContent>
      </w:r>
      <w:r>
        <w:t>RSWORD-E2E 中文 😀 &amp;&lt;&gt;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