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E245" w14:textId="77777777" w:rsidR="009F0874" w:rsidRDefault="009F0874">
      <w:r>
        <w:t>before 前文</w:t>
      </w:r>
    </w:p>
    <w:p w14:paraId="5084C06E" w14:textId="3BDFA854" w:rsidR="009F0874" w:rsidRDefault="009F087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>
        <w:tab/>
      </w:r>
      <w:r>
        <w:br/>
      </w:r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EFE2AA" w14:textId="77777777" w:rsidR="009F0874" w:rsidRDefault="009F0874">
      <w:r>
        <w:t>after 后文</w:t>
      </w:r>
    </w:p>
    <w:p w14:paraId="7C75ACB6" w14:textId="0FD72D41" w:rsidR="00DF3C03" w:rsidRDefault="00DF3C03"/>
    <w:sectPr w:rsidR="00DF3C03" w:rsidSect="009F0874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74"/>
    <w:rsid w:val="009F0874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9CA5"/>
  <w15:chartTrackingRefBased/>
  <w15:docId w15:val="{54B8D8A3-4DC6-4AA8-8976-B280B86A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