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第一段</w:t>
      </w:r>
    </w:p>
    <w:p xmlns:c="http://schemas.openxmlformats.org/drawingml/2006/chart">
      <w:r>
        <w:drawing>
          <wp:inline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"/>
              </a:graphicData>
            </a:graphic>
          </wp:inline>
        </w:drawing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季度销售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华东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120</c:v>
                </c:pt>
                <c:pt idx="1">
                  <c:v>88.5</c:v>
                </c:pt>
                <c:pt idx="2">
                  <c:v>96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华南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70</c:v>
                </c:pt>
                <c:pt idx="2">
                  <c:v>110</c:v>
                </c:pt>
              </c:numCache>
            </c:numRef>
          </c:val>
        </c:ser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plotVisOnly val="1"/>
    <c:dispBlanksAs val="gap"/>
  </c:chart>
  <c:externalData r:id="rId1">
    <c:autoUpdate val="0"/>
  </c:externalData>
</c:chartSpace>
</file>