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inline>
            <wp:extent cx="5486400" cy="3200400"/>
            <wp:docPr id="1" name="图表 1"/>
            <a:graphic>
              <a:graphicData uri="http://schemas.openxmlformats.org/drawingml/2006/chart">
                <c:chart xmlns:c="http://schemas.openxmlformats.org/drawingml/2006/chart" r:id="rId30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30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已改标题 Edited</a:t>
            </a:r>
            <a:r>
              <a:t/>
            </a:r>
          </a:p>
        </c:rich>
      </c:tx>
      <c:overlay val="0"/>
    </c:title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改名系列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9</c:v>
                </c:pt>
                <c:pt idx="1">
                  <c:v>8</c:v>
                </c:pt>
                <c:pt idx="2">
                  <c:v>7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华南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70</c:v>
                </c:pt>
                <c:pt idx="2">
                  <c:v>110</c:v>
                </c:pt>
              </c:numCache>
            </c:numRef>
          </c:val>
        </c:ser>
        <c:axId val="111"/>
        <c:axId val="222"/>
      </c:barChart>
    </c:plotArea>
  </c:chart>
</c:chartSpace>
</file>