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r>
      <w:pict>
        <v:shape id="s1" type="#_x0000_t202" style="position:absolute;margin-left:50pt;margin-top:25.1pt;width:146.1pt;height:12.2pt;z-index:-1;mso-position-horizontal-relative:page;mso-position-vertical-relative:page">
          <v:textbox inset="0,0,0,0">
            <w:txbxContent>
              <w:p>
                <w:r>
                  <w:t>VML box</w:t>
                </w:r>
              </w:p>
            </w:txbxContent>
          </v:textbox>
          <w10:wrap type="none"/>
        </v:shape>
      </w:pict>
    </w:r>
  </w:p>
  <w:p>
    <w:r>
      <w:drawing>
        <wp:inline>
          <wp:extent cx="914400" cy="457200"/>
          <a:graphic>
            <a:graphicData uri="http://schemas.microsoft.com/office/word/2010/wordprocessingShape">
              <wps:wsp>
                <wps:txbx>
                  <w:txbxContent>
                    <w:p>
                      <w:r>
                        <w:t>inline box</w:t>
                      </w:r>
                    </w:p>
                  </w:txbxContent>
                </wps:txbx>
              </wps:wsp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