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99</c:v>
                </c:pt>
              </c:numCache>
            </c:numRef>
          </c:val>
        </c:ser>
      </c:barChart>
    </c:plotArea>
  </c:chart>
</c:chartSpace>
</file>