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numPr>
          <w:ilvl w:val="1"/>
          <w:numId w:val="20"/>
        </w:numPr>
        <w:ind w:left="537" w:hanging="301"/>
      </w:pPr>
      <w:r>
        <w:pict>
          <v:shape xmlns:v="urn:schemas-microsoft-com:vml" id="s1" type="#_x0000_t202" style="position:absolute;margin-left:380.75pt;margin-top:103.2pt;width:207pt;height:54pt">
            <v:textbox>
              <w:txbxContent>
                <w:p>
                  <w:r>
                    <w:t>$918,600</w:t>
                  </w:r>
                </w:p>
              </w:txbxContent>
            </v:textbox>
          </v:shape>
        </w:pict>
      </w:r>
      <w:r>
        <w:t>Total Amount Requested: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1">
      <w:start w:val="1"/>
      <w:numFmt w:val="lowerLetter"/>
      <w:lvlText w:val="(%2)"/>
      <w:pPr>
        <w:ind w:left="564" w:hanging="328"/>
      </w:pPr>
    </w:lvl>
  </w:abstractNum>
  <w:num w:numId="20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