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7-->
    <w:p>
      <w:r>
        <w:drawing>
          <wp:inline>
            <wp:extent cx="2857500" cy="1905000"/>
            <wp:docPr id="1" name="Graphic 1"/>
            <a:graphic>
              <a:graphicData uri="http://schemas.microsoft.com/office/drawing/2014/chartex">
                <cx:chart xmlns:cx="http://schemas.microsoft.com/office/drawing/2014/chartex" r:id="rIdCx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renamed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renamedData>
  <cx:chart>
    <cx:plotArea>
      <cx:plotAreaRegion>
        <cx:series layoutId="waterfall">
          <cx:tx>
            <cx:txData>
              <cx:v>Extended</cx:v>
            </cx:txData>
          </cx:tx>
          <cx:dataId val="0"/>
        </cx:series>
      </cx:plotAreaRegion>
    </cx:plotArea>
  </cx:chart>
</cx:chartSpace>
</file>