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24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4"/>
                <c:pt idx="0">
                  <c:v>A</c:v>
                </c:pt>
                <c:pt idx="2">
                  <c:v>C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4"/>
                <c:pt idx="0">
                  <c:v>2</c:v>
                </c:pt>
                <c:pt idx="2">
                  <c:v>not-a-number</c:v>
                </c:pt>
              </c:numCache>
            </c:numRef>
          </c:val>
        </c:ser>
      </c:barChart>
    </c:plotArea>
  </c:chart>
</c:chartSpace>
</file>