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2"/>
      </w:pPr>
      <w:r>
        <mc:AlternateContent xmlns:mc="http://schemas.openxmlformats.org/markup-compatibility/2006">
          <mc:Choice Requires="wps">
            <w:drawing>
              <wp:anchor behindDoc="1" distT="0" distB="0" distL="0" distR="0" simplePos="0" relativeHeight="2" locked="0" layoutInCell="1" allowOverlap="1">
                <wp:simplePos x="0" y="0"/>
                <wp:extent cx="6048375" cy="9525"/>
                <a:graphic>
                  <a:graphicData uri="http://schemas.microsoft.com/office/word/2010/wordprocessingShape">
                    <wps:wsp xmlns:wps="http://schemas.microsoft.com/office/word/2010/wordprocessingShape">
                      <wps:spPr>
                        <a:xfrm>
                          <a:off x="0" y="0"/>
                          <a:ext cx="6048375" cy="9525"/>
                        </a:xfrm>
                      </wps:spPr>
                    </wps:wsp>
                  </a:graphicData>
                </a:graphic>
              </wp:anchor>
            </w:drawing>
          </mc:Choice>
          <mc:Fallback>
            <w:pict>
              <v:rect xmlns:v="urn:schemas-microsoft-com:vml" style="position:absolute" id="rule1" filled="true"/>
            </w:pict>
          </mc:Fallback>
        </mc:AlternateContent>
      </w:r>
      <w:r>
        <w:t>Mandatory Story Header Format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