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tbl>
    <w:tblPr>
      <w:tblW w:w="0" w:type="auto"/>
    </w:tblPr>
    <w:tblGrid>
      <w:gridCol w:w="4000"/>
      <w:gridCol w:w="4000"/>
    </w:tblGrid>
    <w:tr>
      <w:tc>
        <w:tcPr>
          <w:tcW w:w="4000" w:type="dxa"/>
          <w:shd w:val="clear" w:fill="1F3864"/>
        </w:tcPr>
        <w:p>
          <w:r>
            <w:rPr>
              <w:b/>
            </w:rPr>
            <w:t>ACME 公司</w:t>
          </w:r>
        </w:p>
      </w:tc>
      <w:tc>
        <w:tcPr>
          <w:tcW w:w="4000" w:type="dxa"/>
        </w:tcPr>
        <w:p>
          <w:r>
            <w:t>Logo 占位</w:t>
          </w:r>
        </w:p>
      </w:tc>
    </w:tr>
  </w:tbl>
  <w:p>
    <w:pPr>
      <w:jc w:val="right"/>
    </w:pPr>
    <w:r>
      <w:rPr>
        <w:i/>
      </w:rPr>
      <w:t>公司内部资料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