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>Body</w:t>
      </w:r>
    </w:p>
    <w:sectPr>
      <w:headerReference w:type="default" r:id="rId20"/>
      <w:pgSz w:w="11906" w:h="16838"/>
      <w:pgMar w:top="1440" w:right="1440" w:bottom="1440" w:left="1440" w:header="708" w:footer="708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mc:AlternateContent xmlns:mc="http://schemas.openxmlformats.org/markup-compatibility/2006">
        <mc:Choice Requires="wps">
          <w:drawing>
            <wp:anchor behindDoc="0" distT="0" distB="0" distL="0" distR="0" simplePos="0" relativeHeight="1" locked="0" layoutInCell="1" allowOverlap="1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381000" cy="190500"/>
              <wp:wrapNone/>
              <wp:docPr id="2" name="Logo"/>
              <a:graphic>
                <a:graphicData uri="http://schemas.openxmlformats.org/drawingml/2006/picture">
                  <pic:pic>
                    <pic:blipFill>
                      <a:blip r:embed="rId1"/>
                    </pic:blipFill>
                  </pic:pic>
                </a:graphicData>
              </a:graphic>
            </wp:anchor>
          </w:drawing>
        </mc:Choice>
        <mc:Fallback>
          <w:drawing>
            <wp:inline distT="0" distB="0" distL="0" distR="0">
              <wp:extent cx="381000" cy="190500"/>
              <wp:docPr id="3" name="Logo"/>
              <a:graphic>
                <a:graphicData uri="http://schemas.openxmlformats.org/drawingml/2006/picture">
                  <pic:pic>
                    <pic:blipFill>
                      <a:blip r:embed="rId1"/>
                    </pic:blipFill>
                  </pic:pic>
                </a:graphicData>
              </a:graphic>
            </wp:inline>
          </w:drawing>
        </mc:Fallback>
      </mc:AlternateContent>
    </w:r>
  </w:p>
  <w:p>
    <w:pPr>
      <w:jc w:val="right"/>
    </w:pPr>
    <w:r>
      <w:t>Confidential</w:t>
    </w:r>
  </w:p>
</w:hdr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1.png"/><Relationship Id="rId20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