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正文</w:t>
      </w:r>
      <w:r>
        <w:rPr>
          <w:vertAlign w:val="superscript"/>
        </w:rPr>
        <w:footnoteReference w:id="2"/>
      </w:r>
      <w:r>
        <w:t>继续</w:t>
      </w:r>
    </w:p>
    <w:sectPr>
      <w:pgSz w:w="11906" w:h="16838"/>
      <w:pgMar w:top="1440" w:right="1440" w:bottom="1440" w:left="1440" w:header="708" w:footer="708" w:gutter="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2">
    <w:p>
      <w:r>
        <w:footnoteRef/>
      </w:r>
      <w:r>
        <w:rPr>
          <w:b/>
          <w:color w:val="C00000"/>
        </w:rPr>
        <w:t>加粗红字脚注</w:t>
      </w:r>
    </w:p>
  </w:footnote>
</w:footnote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40" Type="http://schemas.openxmlformats.org/officeDocument/2006/relationships/footnotes" Target="footnotes.xml"/></Relationships>
</file>